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4AA" w:rsidRDefault="008E1475">
      <w:r>
        <w:t xml:space="preserve">都市経済学　課題２　</w:t>
      </w:r>
      <w:r w:rsidR="009844AA">
        <w:t>消費の流入と流出</w:t>
      </w:r>
    </w:p>
    <w:p w:rsidR="009844AA" w:rsidRDefault="009844AA"/>
    <w:p w:rsidR="009844AA" w:rsidRDefault="009844AA">
      <w:r>
        <w:t>対象地域：静岡県市町村</w:t>
      </w:r>
    </w:p>
    <w:p w:rsidR="00B84CEC" w:rsidRDefault="00B84CEC">
      <w:r>
        <w:t>データ：</w:t>
      </w:r>
    </w:p>
    <w:p w:rsidR="00B84CEC" w:rsidRDefault="00C56D83" w:rsidP="00B84CEC">
      <w:pPr>
        <w:ind w:firstLineChars="100" w:firstLine="210"/>
      </w:pPr>
      <w:hyperlink r:id="rId7" w:history="1">
        <w:r w:rsidR="00B84CEC" w:rsidRPr="007E2B30">
          <w:rPr>
            <w:rStyle w:val="a3"/>
          </w:rPr>
          <w:t>http://www5.cao.go.jp/keizai-shimon/kaigi/special/future/keizai-jinkou_data.html</w:t>
        </w:r>
      </w:hyperlink>
    </w:p>
    <w:p w:rsidR="009844AA" w:rsidRDefault="009844AA">
      <w:r>
        <w:t>「商業統計調査：産業編」経済産業省、</w:t>
      </w:r>
      <w:r>
        <w:t>2014</w:t>
      </w:r>
      <w:r>
        <w:t>年</w:t>
      </w:r>
    </w:p>
    <w:p w:rsidR="00B84CEC" w:rsidRDefault="00C56D83" w:rsidP="00B84CEC">
      <w:pPr>
        <w:ind w:firstLineChars="200" w:firstLine="420"/>
      </w:pPr>
      <w:hyperlink r:id="rId8" w:history="1">
        <w:r w:rsidR="00B84CEC" w:rsidRPr="007E2B30">
          <w:rPr>
            <w:rStyle w:val="a3"/>
          </w:rPr>
          <w:t>http://www.meti.go</w:t>
        </w:r>
        <w:r w:rsidR="00B84CEC" w:rsidRPr="007E2B30">
          <w:rPr>
            <w:rStyle w:val="a3"/>
          </w:rPr>
          <w:t>.</w:t>
        </w:r>
        <w:r w:rsidR="00B84CEC" w:rsidRPr="007E2B30">
          <w:rPr>
            <w:rStyle w:val="a3"/>
          </w:rPr>
          <w:t>jp/statistics/tyo/syougyo/result-2.html</w:t>
        </w:r>
      </w:hyperlink>
    </w:p>
    <w:p w:rsidR="009844AA" w:rsidRDefault="009844AA">
      <w:r>
        <w:t>「</w:t>
      </w:r>
      <w:r w:rsidR="00B84CEC">
        <w:t>平成</w:t>
      </w:r>
      <w:r w:rsidR="00B84CEC">
        <w:t>26</w:t>
      </w:r>
      <w:r w:rsidR="00B84CEC">
        <w:t>年度　市町村</w:t>
      </w:r>
      <w:r>
        <w:t>課税者</w:t>
      </w:r>
      <w:r w:rsidR="00B84CEC">
        <w:t>状況等の調べ</w:t>
      </w:r>
      <w:r>
        <w:t>」総務省、</w:t>
      </w:r>
      <w:r w:rsidR="00B84CEC">
        <w:t>2014</w:t>
      </w:r>
      <w:r w:rsidR="00B84CEC">
        <w:t>年度</w:t>
      </w:r>
    </w:p>
    <w:p w:rsidR="00B84CEC" w:rsidRDefault="00C56D83" w:rsidP="00B84CEC">
      <w:pPr>
        <w:ind w:firstLineChars="200" w:firstLine="420"/>
      </w:pPr>
      <w:hyperlink r:id="rId9" w:history="1">
        <w:r w:rsidR="00B84CEC" w:rsidRPr="007E2B30">
          <w:rPr>
            <w:rStyle w:val="a3"/>
          </w:rPr>
          <w:t>http://www.soumu.go.jp/main_sosiki/jichi_zeisei/czaisei/czaisei_seido/ichiran09_14.html</w:t>
        </w:r>
      </w:hyperlink>
    </w:p>
    <w:p w:rsidR="00B84CEC" w:rsidRDefault="00B84CEC">
      <w:r>
        <w:t>「年金：市町村状況」厚生労働省、</w:t>
      </w:r>
      <w:r>
        <w:t>2014</w:t>
      </w:r>
      <w:r>
        <w:t>年度</w:t>
      </w:r>
    </w:p>
    <w:p w:rsidR="00B84CEC" w:rsidRDefault="00B84CEC">
      <w:r>
        <w:t xml:space="preserve">　　</w:t>
      </w:r>
      <w:hyperlink r:id="rId10" w:history="1">
        <w:r w:rsidRPr="007E2B30">
          <w:rPr>
            <w:rStyle w:val="a3"/>
          </w:rPr>
          <w:t>http://www.mhlw.go.jp/topics/bukyoku/nenkin/nenkin/toukei/sikutyouson.html</w:t>
        </w:r>
      </w:hyperlink>
    </w:p>
    <w:p w:rsidR="009844AA" w:rsidRDefault="009844AA">
      <w:r>
        <w:t>「住民基本台帳に基づく人口、</w:t>
      </w:r>
      <w:r w:rsidR="00B84CEC">
        <w:t>人口動態</w:t>
      </w:r>
      <w:r>
        <w:t>および世帯数」総務省、</w:t>
      </w:r>
      <w:r>
        <w:t>2014</w:t>
      </w:r>
      <w:r>
        <w:t>年</w:t>
      </w:r>
    </w:p>
    <w:p w:rsidR="00B84CEC" w:rsidRDefault="00B84CEC">
      <w:r>
        <w:t xml:space="preserve">　　</w:t>
      </w:r>
      <w:hyperlink r:id="rId11" w:history="1">
        <w:r w:rsidRPr="007E2B30">
          <w:rPr>
            <w:rStyle w:val="a3"/>
          </w:rPr>
          <w:t>http://www.soumu.go.jp/menu_news/s-news/01gyosei02_02000062.html</w:t>
        </w:r>
      </w:hyperlink>
    </w:p>
    <w:p w:rsidR="00B84CEC" w:rsidRDefault="00B84CEC"/>
    <w:p w:rsidR="000A5460" w:rsidRDefault="000A5460">
      <w:r>
        <w:t>＜解釈の一例＞</w:t>
      </w:r>
    </w:p>
    <w:p w:rsidR="000A5460" w:rsidRDefault="000A5460">
      <w:pPr>
        <w:rPr>
          <w:rFonts w:hint="eastAsia"/>
        </w:rPr>
      </w:pPr>
    </w:p>
    <w:p w:rsidR="0099152A" w:rsidRDefault="0099152A" w:rsidP="000A5460">
      <w:pPr>
        <w:ind w:firstLineChars="100" w:firstLine="210"/>
      </w:pPr>
      <w:r>
        <w:t>静岡県市町村について個人所得と小売り販売額の関係をプロットしたものが図１、さらにそれを拡大したものが図１</w:t>
      </w:r>
      <w:r>
        <w:t>’</w:t>
      </w:r>
      <w:r>
        <w:t>である。これらに（原点を通るような）回帰直線を当てはまると、</w:t>
      </w:r>
    </w:p>
    <w:p w:rsidR="0099152A" w:rsidRDefault="0099152A">
      <w:r>
        <w:t xml:space="preserve">　　（小売り販売額）＝</w:t>
      </w:r>
      <w:r>
        <w:t>0.6037</w:t>
      </w:r>
      <w:r>
        <w:t>＊（個人所得）、決定係数：</w:t>
      </w:r>
      <w:r>
        <w:t>0.9883</w:t>
      </w:r>
      <w:r w:rsidR="008E1475">
        <w:tab/>
      </w:r>
      <w:r w:rsidR="008E1475">
        <w:tab/>
      </w:r>
      <w:r w:rsidR="008E1475">
        <w:tab/>
        <w:t>(1)</w:t>
      </w:r>
    </w:p>
    <w:p w:rsidR="0099152A" w:rsidRDefault="0099152A">
      <w:r>
        <w:t>という式が推定される。</w:t>
      </w:r>
    </w:p>
    <w:p w:rsidR="0099152A" w:rsidRDefault="0099152A"/>
    <w:p w:rsidR="0099152A" w:rsidRDefault="0099152A" w:rsidP="0099152A">
      <w:pPr>
        <w:ind w:firstLineChars="100" w:firstLine="210"/>
      </w:pPr>
      <w:r>
        <w:t>これは静岡県の市町村についての個人所得と小売り販売額の関係を表す基準線ととらえることができる。そうすると、図からは、静岡市や浜松市、御殿場市などは程度の違いがあれ、それぞれの市の所得額に対して、静岡県の小売り販売額の基準を上回っていると見なすことができる。反対に、</w:t>
      </w:r>
      <w:r w:rsidR="002210FF">
        <w:t>磐田市や富士市、富士宮市、三島市などは基準線よりも下回っており、消費が流出していると考えられる。</w:t>
      </w:r>
    </w:p>
    <w:p w:rsidR="004E12B5" w:rsidRPr="000A5460" w:rsidRDefault="004E12B5" w:rsidP="000A5460">
      <w:pPr>
        <w:widowControl/>
        <w:ind w:firstLineChars="100" w:firstLine="210"/>
        <w:jc w:val="left"/>
        <w:rPr>
          <w:rFonts w:asciiTheme="minorEastAsia" w:hAnsiTheme="minorEastAsia" w:hint="eastAsia"/>
          <w:szCs w:val="21"/>
        </w:rPr>
      </w:pPr>
      <w:r w:rsidRPr="000A5460">
        <w:rPr>
          <w:rFonts w:asciiTheme="minorEastAsia" w:hAnsiTheme="minorEastAsia" w:hint="eastAsia"/>
          <w:szCs w:val="21"/>
        </w:rPr>
        <w:t>富士市は工業の盛んな街で、工業の指数の一つである製造品出荷額等は1兆4,487億7,976万円（2007年）であり県内6位。なかでも豊富な地下水を利用した</w:t>
      </w:r>
      <w:r w:rsidRPr="000A5460">
        <w:rPr>
          <w:rFonts w:asciiTheme="minorEastAsia" w:hAnsiTheme="minorEastAsia" w:hint="eastAsia"/>
          <w:szCs w:val="21"/>
        </w:rPr>
        <w:t>製紙業</w:t>
      </w:r>
      <w:r w:rsidRPr="000A5460">
        <w:rPr>
          <w:rFonts w:asciiTheme="minorEastAsia" w:hAnsiTheme="minorEastAsia" w:hint="eastAsia"/>
          <w:szCs w:val="21"/>
        </w:rPr>
        <w:t>が盛んである。製紙工場は市内に62社73工場（2010年4月現在）あり、その数は日本一である</w:t>
      </w:r>
      <w:r w:rsidRPr="000A5460">
        <w:rPr>
          <w:rFonts w:asciiTheme="minorEastAsia" w:hAnsiTheme="minorEastAsia" w:hint="eastAsia"/>
          <w:szCs w:val="21"/>
        </w:rPr>
        <w:t>（大昭和製紙や王子製紙）</w:t>
      </w:r>
      <w:r w:rsidRPr="000A5460">
        <w:rPr>
          <w:rFonts w:asciiTheme="minorEastAsia" w:hAnsiTheme="minorEastAsia" w:hint="eastAsia"/>
          <w:szCs w:val="21"/>
        </w:rPr>
        <w:t>。市内での紙・板紙類の総生産量は日本全体の11.6%あまり（2009年4月現在）を占め、特に</w:t>
      </w:r>
      <w:r w:rsidRPr="000A5460">
        <w:rPr>
          <w:rFonts w:asciiTheme="minorEastAsia" w:hAnsiTheme="minorEastAsia" w:hint="eastAsia"/>
          <w:szCs w:val="21"/>
        </w:rPr>
        <w:t>トイレットペーパー</w:t>
      </w:r>
      <w:r w:rsidRPr="000A5460">
        <w:rPr>
          <w:rFonts w:asciiTheme="minorEastAsia" w:hAnsiTheme="minorEastAsia" w:hint="eastAsia"/>
          <w:szCs w:val="21"/>
        </w:rPr>
        <w:t>は321,925t、全国比率31.5％で生産量</w:t>
      </w:r>
      <w:r w:rsidRPr="000A5460">
        <w:rPr>
          <w:rFonts w:asciiTheme="minorEastAsia" w:hAnsiTheme="minorEastAsia" w:hint="eastAsia"/>
          <w:szCs w:val="21"/>
        </w:rPr>
        <w:t>日本一</w:t>
      </w:r>
      <w:r w:rsidRPr="000A5460">
        <w:rPr>
          <w:rFonts w:asciiTheme="minorEastAsia" w:hAnsiTheme="minorEastAsia" w:hint="eastAsia"/>
          <w:szCs w:val="21"/>
        </w:rPr>
        <w:t>を誇る。</w:t>
      </w:r>
      <w:r w:rsidR="000A5460">
        <w:rPr>
          <w:rFonts w:asciiTheme="minorEastAsia" w:hAnsiTheme="minorEastAsia" w:hint="eastAsia"/>
          <w:szCs w:val="21"/>
        </w:rPr>
        <w:t>所得水準の割には小売りの販売額が低い。単身赴任者が多く、家族のいる東京への仕送りで域内の小売り消費が少ないと考えられる。</w:t>
      </w:r>
    </w:p>
    <w:p w:rsidR="002210FF" w:rsidRPr="008E1475" w:rsidRDefault="000A5460" w:rsidP="0099152A">
      <w:pPr>
        <w:ind w:firstLineChars="100" w:firstLine="210"/>
        <w:rPr>
          <w:szCs w:val="21"/>
        </w:rPr>
      </w:pPr>
      <w:r>
        <w:rPr>
          <w:szCs w:val="21"/>
        </w:rPr>
        <w:t>他方で、</w:t>
      </w:r>
      <w:r w:rsidR="002210FF" w:rsidRPr="008E1475">
        <w:rPr>
          <w:szCs w:val="21"/>
        </w:rPr>
        <w:t>御殿場市は、かつて</w:t>
      </w:r>
      <w:r w:rsidR="002210FF" w:rsidRPr="008E1475">
        <w:rPr>
          <w:rFonts w:hint="eastAsia"/>
          <w:szCs w:val="21"/>
        </w:rPr>
        <w:t>1616</w:t>
      </w:r>
      <w:r w:rsidR="002210FF" w:rsidRPr="008E1475">
        <w:rPr>
          <w:rFonts w:hint="eastAsia"/>
          <w:szCs w:val="21"/>
        </w:rPr>
        <w:t>年に亡くなった徳川家康の遺体を久能山東照宮</w:t>
      </w:r>
      <w:r w:rsidR="00C93FE9" w:rsidRPr="008E1475">
        <w:rPr>
          <w:rFonts w:hint="eastAsia"/>
          <w:szCs w:val="21"/>
        </w:rPr>
        <w:t>（くのうざんとうしょうぐう）</w:t>
      </w:r>
      <w:r w:rsidR="002210FF" w:rsidRPr="008E1475">
        <w:rPr>
          <w:rFonts w:hint="eastAsia"/>
          <w:szCs w:val="21"/>
        </w:rPr>
        <w:t>から日光東照宮へ移送する際に仮御殿を建てて遺体を安置したところから「御殿場」という地名</w:t>
      </w:r>
      <w:r w:rsidR="00C93FE9" w:rsidRPr="008E1475">
        <w:rPr>
          <w:rFonts w:hint="eastAsia"/>
          <w:szCs w:val="21"/>
        </w:rPr>
        <w:t>が</w:t>
      </w:r>
      <w:r w:rsidR="002210FF" w:rsidRPr="008E1475">
        <w:rPr>
          <w:rFonts w:hint="eastAsia"/>
          <w:szCs w:val="21"/>
        </w:rPr>
        <w:t>生まれた。ここは日本最大級のアウトレットモールである御殿場プレミアムアウトレットがある。</w:t>
      </w:r>
    </w:p>
    <w:p w:rsidR="002210FF" w:rsidRDefault="000A5460" w:rsidP="0099152A">
      <w:pPr>
        <w:ind w:firstLineChars="100" w:firstLine="210"/>
      </w:pPr>
      <w:r>
        <w:t>富士宮市や裾野市、三島市からの消費の流入があると考えられる。御殿場市の純流入額は</w:t>
      </w:r>
      <w:r>
        <w:t>243</w:t>
      </w:r>
      <w:r>
        <w:t>億円で、人口当たりに直すと</w:t>
      </w:r>
      <w:r>
        <w:t>27.7</w:t>
      </w:r>
      <w:r>
        <w:t>万円と推計される。</w:t>
      </w:r>
    </w:p>
    <w:p w:rsidR="0099152A" w:rsidRDefault="0099152A"/>
    <w:p w:rsidR="0099152A" w:rsidRDefault="008E1475" w:rsidP="008E1475">
      <w:pPr>
        <w:jc w:val="center"/>
      </w:pPr>
      <w:r w:rsidRPr="008E1475">
        <w:drawing>
          <wp:inline distT="0" distB="0" distL="0" distR="0" wp14:anchorId="57BF2081" wp14:editId="1F2B40BC">
            <wp:extent cx="4707172" cy="3580979"/>
            <wp:effectExtent l="0" t="0" r="0" b="63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718119" cy="3589307"/>
                    </a:xfrm>
                    <a:prstGeom prst="rect">
                      <a:avLst/>
                    </a:prstGeom>
                  </pic:spPr>
                </pic:pic>
              </a:graphicData>
            </a:graphic>
          </wp:inline>
        </w:drawing>
      </w:r>
    </w:p>
    <w:p w:rsidR="0099152A" w:rsidRDefault="0099152A"/>
    <w:p w:rsidR="0099152A" w:rsidRDefault="0099152A">
      <w:r>
        <w:t>図１　個人所得と小売り販売額の関係</w:t>
      </w:r>
    </w:p>
    <w:p w:rsidR="0099152A" w:rsidRDefault="0099152A">
      <w:r>
        <w:rPr>
          <w:noProof/>
        </w:rPr>
        <w:drawing>
          <wp:inline distT="0" distB="0" distL="0" distR="0" wp14:anchorId="4B74A403" wp14:editId="4FBD5B6D">
            <wp:extent cx="5759450" cy="3432810"/>
            <wp:effectExtent l="0" t="0" r="12700" b="15240"/>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E1475" w:rsidRDefault="008E1475" w:rsidP="008E1475">
      <w:r>
        <w:t>図１</w:t>
      </w:r>
      <w:r>
        <w:t>’</w:t>
      </w:r>
      <w:r>
        <w:t xml:space="preserve">　個人所得と小売り販売額の関係</w:t>
      </w:r>
    </w:p>
    <w:p w:rsidR="0099152A" w:rsidRDefault="0099152A">
      <w:r>
        <w:rPr>
          <w:noProof/>
        </w:rPr>
        <w:lastRenderedPageBreak/>
        <w:drawing>
          <wp:inline distT="0" distB="0" distL="0" distR="0" wp14:anchorId="2BDF01A2" wp14:editId="3007DD14">
            <wp:extent cx="5759450" cy="3524885"/>
            <wp:effectExtent l="0" t="0" r="12700" b="18415"/>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A5460" w:rsidRDefault="000A5460">
      <w:r>
        <w:t>表１　小売りの流入・流出額</w:t>
      </w:r>
    </w:p>
    <w:tbl>
      <w:tblPr>
        <w:tblW w:w="5529" w:type="dxa"/>
        <w:jc w:val="center"/>
        <w:tblCellMar>
          <w:left w:w="99" w:type="dxa"/>
          <w:right w:w="99" w:type="dxa"/>
        </w:tblCellMar>
        <w:tblLook w:val="04A0" w:firstRow="1" w:lastRow="0" w:firstColumn="1" w:lastColumn="0" w:noHBand="0" w:noVBand="1"/>
      </w:tblPr>
      <w:tblGrid>
        <w:gridCol w:w="1600"/>
        <w:gridCol w:w="1720"/>
        <w:gridCol w:w="2209"/>
      </w:tblGrid>
      <w:tr w:rsidR="000A5460" w:rsidRPr="000A5460" w:rsidTr="000A5460">
        <w:trPr>
          <w:trHeight w:val="270"/>
          <w:jc w:val="center"/>
        </w:trPr>
        <w:tc>
          <w:tcPr>
            <w:tcW w:w="1600" w:type="dxa"/>
            <w:tcBorders>
              <w:top w:val="nil"/>
              <w:left w:val="nil"/>
              <w:bottom w:val="nil"/>
              <w:right w:val="nil"/>
            </w:tcBorders>
            <w:shd w:val="clear" w:color="auto" w:fill="auto"/>
            <w:noWrap/>
            <w:vAlign w:val="center"/>
          </w:tcPr>
          <w:p w:rsidR="000A5460" w:rsidRPr="000A5460" w:rsidRDefault="000A5460" w:rsidP="000A5460">
            <w:pPr>
              <w:widowControl/>
              <w:snapToGrid w:val="0"/>
              <w:jc w:val="center"/>
              <w:rPr>
                <w:rFonts w:asciiTheme="minorEastAsia" w:hAnsiTheme="minorEastAsia" w:cs="ＭＳ Ｐゴシック"/>
                <w:color w:val="000000"/>
                <w:kern w:val="0"/>
                <w:sz w:val="20"/>
                <w:szCs w:val="20"/>
              </w:rPr>
            </w:pPr>
          </w:p>
        </w:tc>
        <w:tc>
          <w:tcPr>
            <w:tcW w:w="172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center"/>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回帰分析から</w:t>
            </w:r>
          </w:p>
        </w:tc>
        <w:tc>
          <w:tcPr>
            <w:tcW w:w="2209"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center"/>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左の</w:t>
            </w:r>
          </w:p>
        </w:tc>
      </w:tr>
      <w:tr w:rsidR="000A5460" w:rsidRPr="000A5460" w:rsidTr="000A5460">
        <w:trPr>
          <w:trHeight w:val="270"/>
          <w:jc w:val="center"/>
        </w:trPr>
        <w:tc>
          <w:tcPr>
            <w:tcW w:w="1600" w:type="dxa"/>
            <w:tcBorders>
              <w:top w:val="nil"/>
              <w:left w:val="nil"/>
              <w:bottom w:val="nil"/>
              <w:right w:val="nil"/>
            </w:tcBorders>
            <w:shd w:val="clear" w:color="auto" w:fill="auto"/>
            <w:noWrap/>
            <w:vAlign w:val="center"/>
          </w:tcPr>
          <w:p w:rsidR="000A5460" w:rsidRPr="000A5460" w:rsidRDefault="000A5460" w:rsidP="000A5460">
            <w:pPr>
              <w:widowControl/>
              <w:snapToGrid w:val="0"/>
              <w:jc w:val="center"/>
              <w:rPr>
                <w:rFonts w:asciiTheme="minorEastAsia" w:hAnsiTheme="minorEastAsia" w:cs="ＭＳ Ｐゴシック" w:hint="eastAsia"/>
                <w:color w:val="000000"/>
                <w:kern w:val="0"/>
                <w:sz w:val="20"/>
                <w:szCs w:val="20"/>
              </w:rPr>
            </w:pPr>
          </w:p>
        </w:tc>
        <w:tc>
          <w:tcPr>
            <w:tcW w:w="172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center"/>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観測値－理論値</w:t>
            </w:r>
          </w:p>
        </w:tc>
        <w:tc>
          <w:tcPr>
            <w:tcW w:w="2209"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center"/>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人口当たり</w:t>
            </w:r>
          </w:p>
        </w:tc>
      </w:tr>
      <w:tr w:rsidR="000A5460" w:rsidRPr="000A5460" w:rsidTr="000A5460">
        <w:trPr>
          <w:trHeight w:val="270"/>
          <w:jc w:val="center"/>
        </w:trPr>
        <w:tc>
          <w:tcPr>
            <w:tcW w:w="1600" w:type="dxa"/>
            <w:tcBorders>
              <w:top w:val="nil"/>
              <w:left w:val="nil"/>
              <w:bottom w:val="nil"/>
              <w:right w:val="nil"/>
            </w:tcBorders>
            <w:shd w:val="clear" w:color="auto" w:fill="auto"/>
            <w:noWrap/>
            <w:vAlign w:val="center"/>
          </w:tcPr>
          <w:p w:rsidR="000A5460" w:rsidRPr="000A5460" w:rsidRDefault="000A5460" w:rsidP="000A5460">
            <w:pPr>
              <w:widowControl/>
              <w:snapToGrid w:val="0"/>
              <w:jc w:val="center"/>
              <w:rPr>
                <w:rFonts w:asciiTheme="minorEastAsia" w:hAnsiTheme="minorEastAsia" w:cs="ＭＳ Ｐゴシック" w:hint="eastAsia"/>
                <w:color w:val="000000"/>
                <w:kern w:val="0"/>
                <w:sz w:val="20"/>
                <w:szCs w:val="20"/>
              </w:rPr>
            </w:pPr>
          </w:p>
        </w:tc>
        <w:tc>
          <w:tcPr>
            <w:tcW w:w="172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center"/>
              <w:rPr>
                <w:rFonts w:asciiTheme="minorEastAsia" w:hAnsiTheme="minorEastAsia" w:cs="ＭＳ Ｐゴシック" w:hint="eastAsia"/>
                <w:color w:val="000000"/>
                <w:kern w:val="0"/>
                <w:sz w:val="20"/>
                <w:szCs w:val="20"/>
              </w:rPr>
            </w:pPr>
            <w:r>
              <w:rPr>
                <w:rFonts w:asciiTheme="minorEastAsia" w:hAnsiTheme="minorEastAsia" w:cs="ＭＳ Ｐゴシック" w:hint="eastAsia"/>
                <w:color w:val="000000"/>
                <w:kern w:val="0"/>
                <w:sz w:val="20"/>
                <w:szCs w:val="20"/>
              </w:rPr>
              <w:t>(億円)</w:t>
            </w:r>
          </w:p>
        </w:tc>
        <w:tc>
          <w:tcPr>
            <w:tcW w:w="2209"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w:t>
            </w:r>
            <w:r w:rsidRPr="000A5460">
              <w:rPr>
                <w:rFonts w:asciiTheme="minorEastAsia" w:hAnsiTheme="minorEastAsia" w:cs="ＭＳ Ｐゴシック" w:hint="eastAsia"/>
                <w:color w:val="000000"/>
                <w:kern w:val="0"/>
                <w:sz w:val="20"/>
                <w:szCs w:val="20"/>
              </w:rPr>
              <w:t>万円</w:t>
            </w:r>
            <w:r>
              <w:rPr>
                <w:rFonts w:asciiTheme="minorEastAsia" w:hAnsiTheme="minorEastAsia" w:cs="ＭＳ Ｐゴシック" w:hint="eastAsia"/>
                <w:color w:val="000000"/>
                <w:kern w:val="0"/>
                <w:sz w:val="20"/>
                <w:szCs w:val="20"/>
              </w:rPr>
              <w:t>）</w:t>
            </w:r>
          </w:p>
        </w:tc>
      </w:tr>
      <w:tr w:rsidR="000A5460" w:rsidRPr="000A5460" w:rsidTr="000A5460">
        <w:trPr>
          <w:trHeight w:val="285"/>
          <w:jc w:val="center"/>
        </w:trPr>
        <w:tc>
          <w:tcPr>
            <w:tcW w:w="160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lef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静岡市</w:t>
            </w:r>
          </w:p>
        </w:tc>
        <w:tc>
          <w:tcPr>
            <w:tcW w:w="172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554 </w:t>
            </w:r>
          </w:p>
        </w:tc>
        <w:tc>
          <w:tcPr>
            <w:tcW w:w="2209"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7.8 </w:t>
            </w:r>
          </w:p>
        </w:tc>
      </w:tr>
      <w:tr w:rsidR="000A5460" w:rsidRPr="000A5460" w:rsidTr="000A5460">
        <w:trPr>
          <w:trHeight w:val="285"/>
          <w:jc w:val="center"/>
        </w:trPr>
        <w:tc>
          <w:tcPr>
            <w:tcW w:w="160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lef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浜松市          </w:t>
            </w:r>
          </w:p>
        </w:tc>
        <w:tc>
          <w:tcPr>
            <w:tcW w:w="172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41 </w:t>
            </w:r>
          </w:p>
        </w:tc>
        <w:tc>
          <w:tcPr>
            <w:tcW w:w="2209"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0.5 </w:t>
            </w:r>
          </w:p>
        </w:tc>
      </w:tr>
      <w:tr w:rsidR="000A5460" w:rsidRPr="000A5460" w:rsidTr="000A5460">
        <w:trPr>
          <w:trHeight w:val="285"/>
          <w:jc w:val="center"/>
        </w:trPr>
        <w:tc>
          <w:tcPr>
            <w:tcW w:w="160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lef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沼津市          </w:t>
            </w:r>
          </w:p>
        </w:tc>
        <w:tc>
          <w:tcPr>
            <w:tcW w:w="172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-21 </w:t>
            </w:r>
          </w:p>
        </w:tc>
        <w:tc>
          <w:tcPr>
            <w:tcW w:w="2209"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-1.1 </w:t>
            </w:r>
          </w:p>
        </w:tc>
      </w:tr>
      <w:tr w:rsidR="000A5460" w:rsidRPr="000A5460" w:rsidTr="000A5460">
        <w:trPr>
          <w:trHeight w:val="285"/>
          <w:jc w:val="center"/>
        </w:trPr>
        <w:tc>
          <w:tcPr>
            <w:tcW w:w="160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lef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熱海市          </w:t>
            </w:r>
          </w:p>
        </w:tc>
        <w:tc>
          <w:tcPr>
            <w:tcW w:w="172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-122 </w:t>
            </w:r>
          </w:p>
        </w:tc>
        <w:tc>
          <w:tcPr>
            <w:tcW w:w="2209"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-31.7 </w:t>
            </w:r>
          </w:p>
        </w:tc>
      </w:tr>
      <w:tr w:rsidR="000A5460" w:rsidRPr="000A5460" w:rsidTr="000A5460">
        <w:trPr>
          <w:trHeight w:val="285"/>
          <w:jc w:val="center"/>
        </w:trPr>
        <w:tc>
          <w:tcPr>
            <w:tcW w:w="160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lef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三島市          </w:t>
            </w:r>
          </w:p>
        </w:tc>
        <w:tc>
          <w:tcPr>
            <w:tcW w:w="172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-528 </w:t>
            </w:r>
          </w:p>
        </w:tc>
        <w:tc>
          <w:tcPr>
            <w:tcW w:w="2209"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-47.4 </w:t>
            </w:r>
          </w:p>
        </w:tc>
      </w:tr>
      <w:tr w:rsidR="000A5460" w:rsidRPr="000A5460" w:rsidTr="000A5460">
        <w:trPr>
          <w:trHeight w:val="285"/>
          <w:jc w:val="center"/>
        </w:trPr>
        <w:tc>
          <w:tcPr>
            <w:tcW w:w="160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lef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富士宮市        </w:t>
            </w:r>
          </w:p>
        </w:tc>
        <w:tc>
          <w:tcPr>
            <w:tcW w:w="172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-271 </w:t>
            </w:r>
          </w:p>
        </w:tc>
        <w:tc>
          <w:tcPr>
            <w:tcW w:w="2209"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-20.3 </w:t>
            </w:r>
          </w:p>
        </w:tc>
      </w:tr>
      <w:tr w:rsidR="000A5460" w:rsidRPr="000A5460" w:rsidTr="000A5460">
        <w:trPr>
          <w:trHeight w:val="285"/>
          <w:jc w:val="center"/>
        </w:trPr>
        <w:tc>
          <w:tcPr>
            <w:tcW w:w="160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lef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伊東市          </w:t>
            </w:r>
          </w:p>
        </w:tc>
        <w:tc>
          <w:tcPr>
            <w:tcW w:w="172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60 </w:t>
            </w:r>
          </w:p>
        </w:tc>
        <w:tc>
          <w:tcPr>
            <w:tcW w:w="2209"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8.3 </w:t>
            </w:r>
          </w:p>
        </w:tc>
      </w:tr>
      <w:tr w:rsidR="000A5460" w:rsidRPr="000A5460" w:rsidTr="000A5460">
        <w:trPr>
          <w:trHeight w:val="285"/>
          <w:jc w:val="center"/>
        </w:trPr>
        <w:tc>
          <w:tcPr>
            <w:tcW w:w="160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lef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島田市          </w:t>
            </w:r>
          </w:p>
        </w:tc>
        <w:tc>
          <w:tcPr>
            <w:tcW w:w="172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-162 </w:t>
            </w:r>
          </w:p>
        </w:tc>
        <w:tc>
          <w:tcPr>
            <w:tcW w:w="2209"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-16.1 </w:t>
            </w:r>
          </w:p>
        </w:tc>
      </w:tr>
      <w:tr w:rsidR="000A5460" w:rsidRPr="000A5460" w:rsidTr="000A5460">
        <w:trPr>
          <w:trHeight w:val="285"/>
          <w:jc w:val="center"/>
        </w:trPr>
        <w:tc>
          <w:tcPr>
            <w:tcW w:w="160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lef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富士市          </w:t>
            </w:r>
          </w:p>
        </w:tc>
        <w:tc>
          <w:tcPr>
            <w:tcW w:w="172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-517 </w:t>
            </w:r>
          </w:p>
        </w:tc>
        <w:tc>
          <w:tcPr>
            <w:tcW w:w="2209"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-20.3 </w:t>
            </w:r>
          </w:p>
        </w:tc>
      </w:tr>
      <w:tr w:rsidR="000A5460" w:rsidRPr="000A5460" w:rsidTr="000A5460">
        <w:trPr>
          <w:trHeight w:val="285"/>
          <w:jc w:val="center"/>
        </w:trPr>
        <w:tc>
          <w:tcPr>
            <w:tcW w:w="160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lef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磐田市          </w:t>
            </w:r>
          </w:p>
        </w:tc>
        <w:tc>
          <w:tcPr>
            <w:tcW w:w="172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-342 </w:t>
            </w:r>
          </w:p>
        </w:tc>
        <w:tc>
          <w:tcPr>
            <w:tcW w:w="2209"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-20.7 </w:t>
            </w:r>
          </w:p>
        </w:tc>
      </w:tr>
      <w:tr w:rsidR="000A5460" w:rsidRPr="000A5460" w:rsidTr="000A5460">
        <w:trPr>
          <w:trHeight w:val="285"/>
          <w:jc w:val="center"/>
        </w:trPr>
        <w:tc>
          <w:tcPr>
            <w:tcW w:w="160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lef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焼津市          </w:t>
            </w:r>
          </w:p>
        </w:tc>
        <w:tc>
          <w:tcPr>
            <w:tcW w:w="172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-348 </w:t>
            </w:r>
          </w:p>
        </w:tc>
        <w:tc>
          <w:tcPr>
            <w:tcW w:w="2209"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-24.7 </w:t>
            </w:r>
          </w:p>
        </w:tc>
      </w:tr>
      <w:tr w:rsidR="000A5460" w:rsidRPr="000A5460" w:rsidTr="000A5460">
        <w:trPr>
          <w:trHeight w:val="285"/>
          <w:jc w:val="center"/>
        </w:trPr>
        <w:tc>
          <w:tcPr>
            <w:tcW w:w="160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lef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掛川市          </w:t>
            </w:r>
          </w:p>
        </w:tc>
        <w:tc>
          <w:tcPr>
            <w:tcW w:w="172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-118 </w:t>
            </w:r>
          </w:p>
        </w:tc>
        <w:tc>
          <w:tcPr>
            <w:tcW w:w="2209"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-10.3 </w:t>
            </w:r>
          </w:p>
        </w:tc>
      </w:tr>
      <w:tr w:rsidR="000A5460" w:rsidRPr="000A5460" w:rsidTr="000A5460">
        <w:trPr>
          <w:trHeight w:val="285"/>
          <w:jc w:val="center"/>
        </w:trPr>
        <w:tc>
          <w:tcPr>
            <w:tcW w:w="160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lef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藤枝市          </w:t>
            </w:r>
          </w:p>
        </w:tc>
        <w:tc>
          <w:tcPr>
            <w:tcW w:w="172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-215 </w:t>
            </w:r>
          </w:p>
        </w:tc>
        <w:tc>
          <w:tcPr>
            <w:tcW w:w="2209"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-14.8 </w:t>
            </w:r>
          </w:p>
        </w:tc>
      </w:tr>
      <w:tr w:rsidR="000A5460" w:rsidRPr="000A5460" w:rsidTr="000A5460">
        <w:trPr>
          <w:trHeight w:val="285"/>
          <w:jc w:val="center"/>
        </w:trPr>
        <w:tc>
          <w:tcPr>
            <w:tcW w:w="160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lef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御殿場市        </w:t>
            </w:r>
          </w:p>
        </w:tc>
        <w:tc>
          <w:tcPr>
            <w:tcW w:w="172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243 </w:t>
            </w:r>
          </w:p>
        </w:tc>
        <w:tc>
          <w:tcPr>
            <w:tcW w:w="2209"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27.7 </w:t>
            </w:r>
          </w:p>
        </w:tc>
      </w:tr>
      <w:tr w:rsidR="000A5460" w:rsidRPr="000A5460" w:rsidTr="000A5460">
        <w:trPr>
          <w:trHeight w:val="285"/>
          <w:jc w:val="center"/>
        </w:trPr>
        <w:tc>
          <w:tcPr>
            <w:tcW w:w="160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lef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袋井市          </w:t>
            </w:r>
          </w:p>
        </w:tc>
        <w:tc>
          <w:tcPr>
            <w:tcW w:w="172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-83 </w:t>
            </w:r>
          </w:p>
        </w:tc>
        <w:tc>
          <w:tcPr>
            <w:tcW w:w="2209"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-9.9 </w:t>
            </w:r>
          </w:p>
        </w:tc>
      </w:tr>
      <w:tr w:rsidR="000A5460" w:rsidRPr="000A5460" w:rsidTr="000A5460">
        <w:trPr>
          <w:trHeight w:val="285"/>
          <w:jc w:val="center"/>
        </w:trPr>
        <w:tc>
          <w:tcPr>
            <w:tcW w:w="160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lef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下田市          </w:t>
            </w:r>
          </w:p>
        </w:tc>
        <w:tc>
          <w:tcPr>
            <w:tcW w:w="172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33 </w:t>
            </w:r>
          </w:p>
        </w:tc>
        <w:tc>
          <w:tcPr>
            <w:tcW w:w="2209"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13.8 </w:t>
            </w:r>
          </w:p>
        </w:tc>
      </w:tr>
      <w:tr w:rsidR="000A5460" w:rsidRPr="000A5460" w:rsidTr="000A5460">
        <w:trPr>
          <w:trHeight w:val="285"/>
          <w:jc w:val="center"/>
        </w:trPr>
        <w:tc>
          <w:tcPr>
            <w:tcW w:w="160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lef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裾野市          </w:t>
            </w:r>
          </w:p>
        </w:tc>
        <w:tc>
          <w:tcPr>
            <w:tcW w:w="172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-239 </w:t>
            </w:r>
          </w:p>
        </w:tc>
        <w:tc>
          <w:tcPr>
            <w:tcW w:w="2209"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-45.1 </w:t>
            </w:r>
          </w:p>
        </w:tc>
      </w:tr>
      <w:tr w:rsidR="000A5460" w:rsidRPr="000A5460" w:rsidTr="000A5460">
        <w:trPr>
          <w:trHeight w:val="285"/>
          <w:jc w:val="center"/>
        </w:trPr>
        <w:tc>
          <w:tcPr>
            <w:tcW w:w="160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lef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湖西市          </w:t>
            </w:r>
          </w:p>
        </w:tc>
        <w:tc>
          <w:tcPr>
            <w:tcW w:w="172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-238 </w:t>
            </w:r>
          </w:p>
        </w:tc>
        <w:tc>
          <w:tcPr>
            <w:tcW w:w="2209"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-40.6 </w:t>
            </w:r>
          </w:p>
        </w:tc>
      </w:tr>
      <w:tr w:rsidR="000A5460" w:rsidRPr="000A5460" w:rsidTr="000A5460">
        <w:trPr>
          <w:trHeight w:val="285"/>
          <w:jc w:val="center"/>
        </w:trPr>
        <w:tc>
          <w:tcPr>
            <w:tcW w:w="160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lef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伊豆市          </w:t>
            </w:r>
          </w:p>
        </w:tc>
        <w:tc>
          <w:tcPr>
            <w:tcW w:w="172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-60 </w:t>
            </w:r>
          </w:p>
        </w:tc>
        <w:tc>
          <w:tcPr>
            <w:tcW w:w="2209"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-18.1 </w:t>
            </w:r>
          </w:p>
        </w:tc>
      </w:tr>
      <w:tr w:rsidR="000A5460" w:rsidRPr="000A5460" w:rsidTr="000A5460">
        <w:trPr>
          <w:trHeight w:val="285"/>
          <w:jc w:val="center"/>
        </w:trPr>
        <w:tc>
          <w:tcPr>
            <w:tcW w:w="160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lef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御前崎市        </w:t>
            </w:r>
          </w:p>
        </w:tc>
        <w:tc>
          <w:tcPr>
            <w:tcW w:w="172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-82 </w:t>
            </w:r>
          </w:p>
        </w:tc>
        <w:tc>
          <w:tcPr>
            <w:tcW w:w="2209"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-24.4 </w:t>
            </w:r>
          </w:p>
        </w:tc>
      </w:tr>
      <w:tr w:rsidR="000A5460" w:rsidRPr="000A5460" w:rsidTr="000A5460">
        <w:trPr>
          <w:trHeight w:val="285"/>
          <w:jc w:val="center"/>
        </w:trPr>
        <w:tc>
          <w:tcPr>
            <w:tcW w:w="160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lef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菊川市          </w:t>
            </w:r>
          </w:p>
        </w:tc>
        <w:tc>
          <w:tcPr>
            <w:tcW w:w="172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-84 </w:t>
            </w:r>
          </w:p>
        </w:tc>
        <w:tc>
          <w:tcPr>
            <w:tcW w:w="2209"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-18.4 </w:t>
            </w:r>
          </w:p>
        </w:tc>
      </w:tr>
      <w:tr w:rsidR="000A5460" w:rsidRPr="000A5460" w:rsidTr="000A5460">
        <w:trPr>
          <w:trHeight w:val="285"/>
          <w:jc w:val="center"/>
        </w:trPr>
        <w:tc>
          <w:tcPr>
            <w:tcW w:w="160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lef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伊豆の国市</w:t>
            </w:r>
          </w:p>
        </w:tc>
        <w:tc>
          <w:tcPr>
            <w:tcW w:w="172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-86 </w:t>
            </w:r>
          </w:p>
        </w:tc>
        <w:tc>
          <w:tcPr>
            <w:tcW w:w="2209"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-17.2 </w:t>
            </w:r>
          </w:p>
        </w:tc>
      </w:tr>
      <w:tr w:rsidR="000A5460" w:rsidRPr="000A5460" w:rsidTr="000A5460">
        <w:trPr>
          <w:trHeight w:val="285"/>
          <w:jc w:val="center"/>
        </w:trPr>
        <w:tc>
          <w:tcPr>
            <w:tcW w:w="160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lef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牧之原市        </w:t>
            </w:r>
          </w:p>
        </w:tc>
        <w:tc>
          <w:tcPr>
            <w:tcW w:w="172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57 </w:t>
            </w:r>
          </w:p>
        </w:tc>
        <w:tc>
          <w:tcPr>
            <w:tcW w:w="2209"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12.1 </w:t>
            </w:r>
          </w:p>
        </w:tc>
      </w:tr>
      <w:tr w:rsidR="000A5460" w:rsidRPr="000A5460" w:rsidTr="000A5460">
        <w:trPr>
          <w:trHeight w:val="285"/>
          <w:jc w:val="center"/>
        </w:trPr>
        <w:tc>
          <w:tcPr>
            <w:tcW w:w="160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lef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東伊豆町        </w:t>
            </w:r>
          </w:p>
        </w:tc>
        <w:tc>
          <w:tcPr>
            <w:tcW w:w="172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-31 </w:t>
            </w:r>
          </w:p>
        </w:tc>
        <w:tc>
          <w:tcPr>
            <w:tcW w:w="2209"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-22.9 </w:t>
            </w:r>
          </w:p>
        </w:tc>
      </w:tr>
      <w:tr w:rsidR="000A5460" w:rsidRPr="000A5460" w:rsidTr="000A5460">
        <w:trPr>
          <w:trHeight w:val="285"/>
          <w:jc w:val="center"/>
        </w:trPr>
        <w:tc>
          <w:tcPr>
            <w:tcW w:w="160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lef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lastRenderedPageBreak/>
              <w:t xml:space="preserve">河津町          </w:t>
            </w:r>
          </w:p>
        </w:tc>
        <w:tc>
          <w:tcPr>
            <w:tcW w:w="172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-7 </w:t>
            </w:r>
          </w:p>
        </w:tc>
        <w:tc>
          <w:tcPr>
            <w:tcW w:w="2209"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-9.0 </w:t>
            </w:r>
          </w:p>
        </w:tc>
      </w:tr>
      <w:tr w:rsidR="000A5460" w:rsidRPr="000A5460" w:rsidTr="000A5460">
        <w:trPr>
          <w:trHeight w:val="285"/>
          <w:jc w:val="center"/>
        </w:trPr>
        <w:tc>
          <w:tcPr>
            <w:tcW w:w="160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lef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南伊豆町        </w:t>
            </w:r>
          </w:p>
        </w:tc>
        <w:tc>
          <w:tcPr>
            <w:tcW w:w="172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-22 </w:t>
            </w:r>
          </w:p>
        </w:tc>
        <w:tc>
          <w:tcPr>
            <w:tcW w:w="2209"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-24.7 </w:t>
            </w:r>
          </w:p>
        </w:tc>
      </w:tr>
      <w:tr w:rsidR="000A5460" w:rsidRPr="000A5460" w:rsidTr="000A5460">
        <w:trPr>
          <w:trHeight w:val="285"/>
          <w:jc w:val="center"/>
        </w:trPr>
        <w:tc>
          <w:tcPr>
            <w:tcW w:w="160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lef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松崎町          </w:t>
            </w:r>
          </w:p>
        </w:tc>
        <w:tc>
          <w:tcPr>
            <w:tcW w:w="172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3 </w:t>
            </w:r>
          </w:p>
        </w:tc>
        <w:tc>
          <w:tcPr>
            <w:tcW w:w="2209"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4.0 </w:t>
            </w:r>
          </w:p>
        </w:tc>
      </w:tr>
      <w:tr w:rsidR="000A5460" w:rsidRPr="000A5460" w:rsidTr="000A5460">
        <w:trPr>
          <w:trHeight w:val="285"/>
          <w:jc w:val="center"/>
        </w:trPr>
        <w:tc>
          <w:tcPr>
            <w:tcW w:w="160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lef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西伊豆町        </w:t>
            </w:r>
          </w:p>
        </w:tc>
        <w:tc>
          <w:tcPr>
            <w:tcW w:w="172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-26 </w:t>
            </w:r>
          </w:p>
        </w:tc>
        <w:tc>
          <w:tcPr>
            <w:tcW w:w="2209"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-28.1 </w:t>
            </w:r>
          </w:p>
        </w:tc>
      </w:tr>
      <w:tr w:rsidR="000A5460" w:rsidRPr="000A5460" w:rsidTr="000A5460">
        <w:trPr>
          <w:trHeight w:val="285"/>
          <w:jc w:val="center"/>
        </w:trPr>
        <w:tc>
          <w:tcPr>
            <w:tcW w:w="160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lef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函南町          </w:t>
            </w:r>
          </w:p>
        </w:tc>
        <w:tc>
          <w:tcPr>
            <w:tcW w:w="172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-88 </w:t>
            </w:r>
          </w:p>
        </w:tc>
        <w:tc>
          <w:tcPr>
            <w:tcW w:w="2209"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-23.0 </w:t>
            </w:r>
          </w:p>
        </w:tc>
      </w:tr>
      <w:tr w:rsidR="000A5460" w:rsidRPr="000A5460" w:rsidTr="000A5460">
        <w:trPr>
          <w:trHeight w:val="285"/>
          <w:jc w:val="center"/>
        </w:trPr>
        <w:tc>
          <w:tcPr>
            <w:tcW w:w="160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lef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清水町          </w:t>
            </w:r>
          </w:p>
        </w:tc>
        <w:tc>
          <w:tcPr>
            <w:tcW w:w="172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78 </w:t>
            </w:r>
          </w:p>
        </w:tc>
        <w:tc>
          <w:tcPr>
            <w:tcW w:w="2209"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24.4 </w:t>
            </w:r>
          </w:p>
        </w:tc>
      </w:tr>
      <w:tr w:rsidR="000A5460" w:rsidRPr="000A5460" w:rsidTr="000A5460">
        <w:trPr>
          <w:trHeight w:val="285"/>
          <w:jc w:val="center"/>
        </w:trPr>
        <w:tc>
          <w:tcPr>
            <w:tcW w:w="160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lef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長泉町          </w:t>
            </w:r>
          </w:p>
        </w:tc>
        <w:tc>
          <w:tcPr>
            <w:tcW w:w="172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-144 </w:t>
            </w:r>
          </w:p>
        </w:tc>
        <w:tc>
          <w:tcPr>
            <w:tcW w:w="2209"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-34.3 </w:t>
            </w:r>
          </w:p>
        </w:tc>
      </w:tr>
      <w:tr w:rsidR="000A5460" w:rsidRPr="000A5460" w:rsidTr="000A5460">
        <w:trPr>
          <w:trHeight w:val="285"/>
          <w:jc w:val="center"/>
        </w:trPr>
        <w:tc>
          <w:tcPr>
            <w:tcW w:w="160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lef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小山町          </w:t>
            </w:r>
          </w:p>
        </w:tc>
        <w:tc>
          <w:tcPr>
            <w:tcW w:w="172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-122 </w:t>
            </w:r>
          </w:p>
        </w:tc>
        <w:tc>
          <w:tcPr>
            <w:tcW w:w="2209"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-61.8 </w:t>
            </w:r>
          </w:p>
        </w:tc>
      </w:tr>
      <w:tr w:rsidR="000A5460" w:rsidRPr="000A5460" w:rsidTr="000A5460">
        <w:trPr>
          <w:trHeight w:val="285"/>
          <w:jc w:val="center"/>
        </w:trPr>
        <w:tc>
          <w:tcPr>
            <w:tcW w:w="160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lef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吉田町          </w:t>
            </w:r>
          </w:p>
        </w:tc>
        <w:tc>
          <w:tcPr>
            <w:tcW w:w="172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23 </w:t>
            </w:r>
          </w:p>
        </w:tc>
        <w:tc>
          <w:tcPr>
            <w:tcW w:w="2209"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7.8 </w:t>
            </w:r>
          </w:p>
        </w:tc>
      </w:tr>
      <w:tr w:rsidR="000A5460" w:rsidRPr="000A5460" w:rsidTr="000A5460">
        <w:trPr>
          <w:trHeight w:val="285"/>
          <w:jc w:val="center"/>
        </w:trPr>
        <w:tc>
          <w:tcPr>
            <w:tcW w:w="160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lef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川根本町        </w:t>
            </w:r>
          </w:p>
        </w:tc>
        <w:tc>
          <w:tcPr>
            <w:tcW w:w="172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-28 </w:t>
            </w:r>
          </w:p>
        </w:tc>
        <w:tc>
          <w:tcPr>
            <w:tcW w:w="2209"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-36.0 </w:t>
            </w:r>
          </w:p>
        </w:tc>
      </w:tr>
      <w:tr w:rsidR="000A5460" w:rsidRPr="000A5460" w:rsidTr="000A5460">
        <w:trPr>
          <w:trHeight w:val="285"/>
          <w:jc w:val="center"/>
        </w:trPr>
        <w:tc>
          <w:tcPr>
            <w:tcW w:w="160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lef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000000"/>
                <w:kern w:val="0"/>
                <w:sz w:val="20"/>
                <w:szCs w:val="20"/>
              </w:rPr>
              <w:t xml:space="preserve">森町            </w:t>
            </w:r>
          </w:p>
        </w:tc>
        <w:tc>
          <w:tcPr>
            <w:tcW w:w="1720"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-79 </w:t>
            </w:r>
          </w:p>
        </w:tc>
        <w:tc>
          <w:tcPr>
            <w:tcW w:w="2209" w:type="dxa"/>
            <w:tcBorders>
              <w:top w:val="nil"/>
              <w:left w:val="nil"/>
              <w:bottom w:val="nil"/>
              <w:right w:val="nil"/>
            </w:tcBorders>
            <w:shd w:val="clear" w:color="auto" w:fill="auto"/>
            <w:noWrap/>
            <w:vAlign w:val="center"/>
            <w:hideMark/>
          </w:tcPr>
          <w:p w:rsidR="000A5460" w:rsidRPr="000A5460" w:rsidRDefault="000A5460" w:rsidP="000A5460">
            <w:pPr>
              <w:widowControl/>
              <w:snapToGrid w:val="0"/>
              <w:jc w:val="right"/>
              <w:rPr>
                <w:rFonts w:asciiTheme="minorEastAsia" w:hAnsiTheme="minorEastAsia" w:cs="ＭＳ Ｐゴシック" w:hint="eastAsia"/>
                <w:color w:val="000000"/>
                <w:kern w:val="0"/>
                <w:sz w:val="20"/>
                <w:szCs w:val="20"/>
              </w:rPr>
            </w:pPr>
            <w:r w:rsidRPr="000A5460">
              <w:rPr>
                <w:rFonts w:asciiTheme="minorEastAsia" w:hAnsiTheme="minorEastAsia" w:cs="ＭＳ Ｐゴシック" w:hint="eastAsia"/>
                <w:color w:val="FF0000"/>
                <w:kern w:val="0"/>
                <w:sz w:val="20"/>
                <w:szCs w:val="20"/>
              </w:rPr>
              <w:t xml:space="preserve">-40.8 </w:t>
            </w:r>
          </w:p>
        </w:tc>
      </w:tr>
    </w:tbl>
    <w:p w:rsidR="000A5460" w:rsidRDefault="000A5460"/>
    <w:p w:rsidR="000A5460" w:rsidRDefault="000A5460">
      <w:r>
        <w:t>注）課題の提出に当たって</w:t>
      </w:r>
    </w:p>
    <w:p w:rsidR="000A5460" w:rsidRDefault="000A5460" w:rsidP="000A5460">
      <w:pPr>
        <w:ind w:firstLineChars="100" w:firstLine="210"/>
      </w:pPr>
      <w:r>
        <w:t xml:space="preserve">期限　</w:t>
      </w:r>
      <w:r>
        <w:t>6</w:t>
      </w:r>
      <w:r>
        <w:t>月</w:t>
      </w:r>
      <w:r>
        <w:t>15</w:t>
      </w:r>
      <w:r>
        <w:t>日</w:t>
      </w:r>
      <w:r>
        <w:t>(</w:t>
      </w:r>
      <w:r>
        <w:t>金</w:t>
      </w:r>
      <w:r>
        <w:t>)</w:t>
      </w:r>
      <w:r>
        <w:t>午後</w:t>
      </w:r>
      <w:r>
        <w:t>5</w:t>
      </w:r>
      <w:r>
        <w:t>時</w:t>
      </w:r>
    </w:p>
    <w:p w:rsidR="000A5460" w:rsidRDefault="000A5460" w:rsidP="000A5460">
      <w:pPr>
        <w:ind w:firstLineChars="100" w:firstLine="210"/>
      </w:pPr>
      <w:r>
        <w:t>場所　教務学生係のレポート入れ</w:t>
      </w:r>
    </w:p>
    <w:p w:rsidR="000A5460" w:rsidRDefault="00EF61A5" w:rsidP="000A5460">
      <w:pPr>
        <w:ind w:firstLineChars="100" w:firstLine="210"/>
      </w:pPr>
      <w:r>
        <w:t>様式　上下左右の余白は</w:t>
      </w:r>
      <w:r>
        <w:t>25</w:t>
      </w:r>
      <w:r>
        <w:t>ミリ、頁番号記入、その余白は</w:t>
      </w:r>
      <w:r>
        <w:t>10</w:t>
      </w:r>
      <w:r>
        <w:t>ミリ</w:t>
      </w:r>
    </w:p>
    <w:p w:rsidR="00EF61A5" w:rsidRDefault="00EF61A5" w:rsidP="000A5460">
      <w:pPr>
        <w:ind w:firstLineChars="100" w:firstLine="210"/>
      </w:pPr>
      <w:r>
        <w:t xml:space="preserve">　　　学部、番号、氏名、提出日</w:t>
      </w:r>
    </w:p>
    <w:p w:rsidR="00EF61A5" w:rsidRDefault="00EF61A5" w:rsidP="000A5460">
      <w:pPr>
        <w:ind w:firstLineChars="100" w:firstLine="210"/>
      </w:pPr>
      <w:r>
        <w:t>内容　すべての市町村について解釈する必要はない。</w:t>
      </w:r>
    </w:p>
    <w:p w:rsidR="00EF61A5" w:rsidRDefault="00EF61A5" w:rsidP="000A5460">
      <w:pPr>
        <w:ind w:firstLineChars="100" w:firstLine="210"/>
      </w:pPr>
      <w:r>
        <w:t xml:space="preserve">　　　出身地と乖離が大きく注目したい市町村について解釈する。</w:t>
      </w:r>
    </w:p>
    <w:p w:rsidR="00EF61A5" w:rsidRDefault="00EF61A5" w:rsidP="000A5460">
      <w:pPr>
        <w:ind w:firstLineChars="100" w:firstLine="210"/>
        <w:rPr>
          <w:rFonts w:hint="eastAsia"/>
        </w:rPr>
      </w:pPr>
      <w:r>
        <w:t xml:space="preserve">　　　商業統計の「立地環境特性別統計」</w:t>
      </w:r>
    </w:p>
    <w:p w:rsidR="00EF61A5" w:rsidRDefault="00EF61A5" w:rsidP="00EF61A5">
      <w:pPr>
        <w:ind w:firstLineChars="500" w:firstLine="1050"/>
      </w:pPr>
      <w:hyperlink r:id="rId15" w:history="1">
        <w:r w:rsidRPr="005E3215">
          <w:rPr>
            <w:rStyle w:val="a3"/>
          </w:rPr>
          <w:t>http://www.meti.go.jp/statistics/tyo/syougyo/result-2/h26/index-ricchidata.html</w:t>
        </w:r>
      </w:hyperlink>
    </w:p>
    <w:p w:rsidR="00EF61A5" w:rsidRPr="00EF61A5" w:rsidRDefault="00EF61A5" w:rsidP="000A5460">
      <w:pPr>
        <w:ind w:firstLineChars="100" w:firstLine="210"/>
        <w:rPr>
          <w:rFonts w:hint="eastAsia"/>
        </w:rPr>
      </w:pPr>
      <w:r>
        <w:rPr>
          <w:rFonts w:hint="eastAsia"/>
        </w:rPr>
        <w:t xml:space="preserve">　　　をみると商業集積地についての統計がまとまっている。</w:t>
      </w:r>
      <w:bookmarkStart w:id="0" w:name="_GoBack"/>
      <w:bookmarkEnd w:id="0"/>
    </w:p>
    <w:sectPr w:rsidR="00EF61A5" w:rsidRPr="00EF61A5" w:rsidSect="006C126C">
      <w:footerReference w:type="default" r:id="rId16"/>
      <w:pgSz w:w="11906" w:h="16838" w:code="9"/>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D83" w:rsidRDefault="00C56D83" w:rsidP="00EF61A5">
      <w:r>
        <w:separator/>
      </w:r>
    </w:p>
  </w:endnote>
  <w:endnote w:type="continuationSeparator" w:id="0">
    <w:p w:rsidR="00C56D83" w:rsidRDefault="00C56D83" w:rsidP="00EF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7475655"/>
      <w:docPartObj>
        <w:docPartGallery w:val="Page Numbers (Bottom of Page)"/>
        <w:docPartUnique/>
      </w:docPartObj>
    </w:sdtPr>
    <w:sdtContent>
      <w:p w:rsidR="00EF61A5" w:rsidRDefault="00EF61A5">
        <w:pPr>
          <w:pStyle w:val="a7"/>
          <w:jc w:val="center"/>
        </w:pPr>
        <w:r>
          <w:fldChar w:fldCharType="begin"/>
        </w:r>
        <w:r>
          <w:instrText>PAGE   \* MERGEFORMAT</w:instrText>
        </w:r>
        <w:r>
          <w:fldChar w:fldCharType="separate"/>
        </w:r>
        <w:r w:rsidRPr="00EF61A5">
          <w:rPr>
            <w:noProof/>
            <w:lang w:val="ja-JP"/>
          </w:rPr>
          <w:t>4</w:t>
        </w:r>
        <w:r>
          <w:fldChar w:fldCharType="end"/>
        </w:r>
      </w:p>
    </w:sdtContent>
  </w:sdt>
  <w:p w:rsidR="00EF61A5" w:rsidRDefault="00EF61A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D83" w:rsidRDefault="00C56D83" w:rsidP="00EF61A5">
      <w:r>
        <w:separator/>
      </w:r>
    </w:p>
  </w:footnote>
  <w:footnote w:type="continuationSeparator" w:id="0">
    <w:p w:rsidR="00C56D83" w:rsidRDefault="00C56D83" w:rsidP="00EF61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32E1F"/>
    <w:multiLevelType w:val="multilevel"/>
    <w:tmpl w:val="5348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4AA"/>
    <w:rsid w:val="000A5460"/>
    <w:rsid w:val="002210FF"/>
    <w:rsid w:val="002E4EF6"/>
    <w:rsid w:val="00406861"/>
    <w:rsid w:val="004E12B5"/>
    <w:rsid w:val="006C126C"/>
    <w:rsid w:val="008910BC"/>
    <w:rsid w:val="008E1475"/>
    <w:rsid w:val="009844AA"/>
    <w:rsid w:val="0099152A"/>
    <w:rsid w:val="00B84CEC"/>
    <w:rsid w:val="00BC3571"/>
    <w:rsid w:val="00C378CD"/>
    <w:rsid w:val="00C56D83"/>
    <w:rsid w:val="00C93FE9"/>
    <w:rsid w:val="00E54593"/>
    <w:rsid w:val="00EF6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1563CC8-3E7C-4C60-A750-9A914F3F6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4CEC"/>
    <w:rPr>
      <w:color w:val="0563C1" w:themeColor="hyperlink"/>
      <w:u w:val="single"/>
    </w:rPr>
  </w:style>
  <w:style w:type="character" w:styleId="a4">
    <w:name w:val="FollowedHyperlink"/>
    <w:basedOn w:val="a0"/>
    <w:uiPriority w:val="99"/>
    <w:semiHidden/>
    <w:unhideWhenUsed/>
    <w:rsid w:val="00EF61A5"/>
    <w:rPr>
      <w:color w:val="954F72" w:themeColor="followedHyperlink"/>
      <w:u w:val="single"/>
    </w:rPr>
  </w:style>
  <w:style w:type="paragraph" w:styleId="a5">
    <w:name w:val="header"/>
    <w:basedOn w:val="a"/>
    <w:link w:val="a6"/>
    <w:uiPriority w:val="99"/>
    <w:unhideWhenUsed/>
    <w:rsid w:val="00EF61A5"/>
    <w:pPr>
      <w:tabs>
        <w:tab w:val="center" w:pos="4252"/>
        <w:tab w:val="right" w:pos="8504"/>
      </w:tabs>
      <w:snapToGrid w:val="0"/>
    </w:pPr>
  </w:style>
  <w:style w:type="character" w:customStyle="1" w:styleId="a6">
    <w:name w:val="ヘッダー (文字)"/>
    <w:basedOn w:val="a0"/>
    <w:link w:val="a5"/>
    <w:uiPriority w:val="99"/>
    <w:rsid w:val="00EF61A5"/>
  </w:style>
  <w:style w:type="paragraph" w:styleId="a7">
    <w:name w:val="footer"/>
    <w:basedOn w:val="a"/>
    <w:link w:val="a8"/>
    <w:uiPriority w:val="99"/>
    <w:unhideWhenUsed/>
    <w:rsid w:val="00EF61A5"/>
    <w:pPr>
      <w:tabs>
        <w:tab w:val="center" w:pos="4252"/>
        <w:tab w:val="right" w:pos="8504"/>
      </w:tabs>
      <w:snapToGrid w:val="0"/>
    </w:pPr>
  </w:style>
  <w:style w:type="character" w:customStyle="1" w:styleId="a8">
    <w:name w:val="フッター (文字)"/>
    <w:basedOn w:val="a0"/>
    <w:link w:val="a7"/>
    <w:uiPriority w:val="99"/>
    <w:rsid w:val="00EF6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54584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7">
          <w:marLeft w:val="0"/>
          <w:marRight w:val="0"/>
          <w:marTop w:val="0"/>
          <w:marBottom w:val="0"/>
          <w:divBdr>
            <w:top w:val="none" w:sz="0" w:space="0" w:color="auto"/>
            <w:left w:val="none" w:sz="0" w:space="0" w:color="auto"/>
            <w:bottom w:val="none" w:sz="0" w:space="0" w:color="auto"/>
            <w:right w:val="none" w:sz="0" w:space="0" w:color="auto"/>
          </w:divBdr>
          <w:divsChild>
            <w:div w:id="881673098">
              <w:marLeft w:val="0"/>
              <w:marRight w:val="0"/>
              <w:marTop w:val="0"/>
              <w:marBottom w:val="0"/>
              <w:divBdr>
                <w:top w:val="none" w:sz="0" w:space="0" w:color="auto"/>
                <w:left w:val="none" w:sz="0" w:space="0" w:color="auto"/>
                <w:bottom w:val="none" w:sz="0" w:space="0" w:color="auto"/>
                <w:right w:val="none" w:sz="0" w:space="0" w:color="auto"/>
              </w:divBdr>
              <w:divsChild>
                <w:div w:id="1517311056">
                  <w:marLeft w:val="0"/>
                  <w:marRight w:val="0"/>
                  <w:marTop w:val="0"/>
                  <w:marBottom w:val="0"/>
                  <w:divBdr>
                    <w:top w:val="none" w:sz="0" w:space="0" w:color="auto"/>
                    <w:left w:val="none" w:sz="0" w:space="0" w:color="auto"/>
                    <w:bottom w:val="none" w:sz="0" w:space="0" w:color="auto"/>
                    <w:right w:val="none" w:sz="0" w:space="0" w:color="auto"/>
                  </w:divBdr>
                  <w:divsChild>
                    <w:div w:id="23759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29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i.go.jp/statistics/tyo/syougyo/result-2.html" TargetMode="Externa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5.cao.go.jp/keizai-shimon/kaigi/special/future/keizai-jinkou_data.html" TargetMode="External"/><Relationship Id="rId12" Type="http://schemas.openxmlformats.org/officeDocument/2006/relationships/image" Target="media/image1.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mu.go.jp/menu_news/s-news/01gyosei02_02000062.html" TargetMode="External"/><Relationship Id="rId5" Type="http://schemas.openxmlformats.org/officeDocument/2006/relationships/footnotes" Target="footnotes.xml"/><Relationship Id="rId15" Type="http://schemas.openxmlformats.org/officeDocument/2006/relationships/hyperlink" Target="http://www.meti.go.jp/statistics/tyo/syougyo/result-2/h26/index-ricchidata.html" TargetMode="External"/><Relationship Id="rId10" Type="http://schemas.openxmlformats.org/officeDocument/2006/relationships/hyperlink" Target="http://www.mhlw.go.jp/topics/bukyoku/nenkin/nenkin/toukei/sikutyouson.html" TargetMode="External"/><Relationship Id="rId4" Type="http://schemas.openxmlformats.org/officeDocument/2006/relationships/webSettings" Target="webSettings.xml"/><Relationship Id="rId9" Type="http://schemas.openxmlformats.org/officeDocument/2006/relationships/hyperlink" Target="http://www.soumu.go.jp/main_sosiki/jichi_zeisei/czaisei/czaisei_seido/ichiran09_14.html"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E:\&#37117;&#24066;&#32076;&#28168;&#23398;\&#35506;&#38988;\&#28040;&#36027;&#12398;&#28431;&#1242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37117;&#24066;&#32076;&#28168;&#23398;\&#35506;&#38988;\&#28040;&#36027;&#12398;&#28431;&#1242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rgbClr val="FF0000"/>
              </a:solidFill>
              <a:ln w="9525">
                <a:solidFill>
                  <a:srgbClr val="FF0000"/>
                </a:solidFill>
              </a:ln>
              <a:effectLst/>
            </c:spPr>
          </c:marker>
          <c:dLbls>
            <c:dLbl>
              <c:idx val="0"/>
              <c:tx>
                <c:rich>
                  <a:bodyPr/>
                  <a:lstStyle/>
                  <a:p>
                    <a:fld id="{3DF11957-5E5A-4184-BD72-9F0277855FF0}" type="CELLRANGE">
                      <a:rPr lang="en-US" altLang="ja-JP"/>
                      <a:pPr/>
                      <a:t>[CELLRANGE]</a:t>
                    </a:fld>
                    <a:endParaRPr lang="ja-JP" altLang="en-US"/>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Lst>
            </c:dLbl>
            <c:dLbl>
              <c:idx val="1"/>
              <c:tx>
                <c:rich>
                  <a:bodyPr/>
                  <a:lstStyle/>
                  <a:p>
                    <a:fld id="{389871BE-E554-440A-8B58-03FD17C65A63}"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2"/>
              <c:layout>
                <c:manualLayout>
                  <c:x val="-8.0939613312590739E-2"/>
                  <c:y val="-4.5934689552028271E-2"/>
                </c:manualLayout>
              </c:layout>
              <c:tx>
                <c:rich>
                  <a:bodyPr/>
                  <a:lstStyle/>
                  <a:p>
                    <a:fld id="{4530359E-3310-4379-90B2-E872AFCF2976}" type="CELLRANGE">
                      <a:rPr lang="ja-JP" altLang="en-US"/>
                      <a:pPr/>
                      <a:t>[CELLRANGE]</a:t>
                    </a:fld>
                    <a:endParaRPr lang="ja-JP" altLang="en-US"/>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Lst>
            </c:dLbl>
            <c:dLbl>
              <c:idx val="3"/>
              <c:tx>
                <c:rich>
                  <a:bodyPr/>
                  <a:lstStyle/>
                  <a:p>
                    <a:fld id="{98E6D73F-3E4F-47AC-9EDB-F99ADDE1D626}"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4"/>
              <c:tx>
                <c:rich>
                  <a:bodyPr/>
                  <a:lstStyle/>
                  <a:p>
                    <a:fld id="{AD0D500A-5CEC-4951-A291-96268DEC9987}"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5"/>
              <c:tx>
                <c:rich>
                  <a:bodyPr/>
                  <a:lstStyle/>
                  <a:p>
                    <a:fld id="{ADAF53BE-88A0-4DA8-9BB7-03C990F8673F}"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6"/>
              <c:tx>
                <c:rich>
                  <a:bodyPr/>
                  <a:lstStyle/>
                  <a:p>
                    <a:fld id="{7BDF056C-7057-4D88-8418-D5F538A26994}"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7"/>
              <c:tx>
                <c:rich>
                  <a:bodyPr/>
                  <a:lstStyle/>
                  <a:p>
                    <a:fld id="{BBAAD6A1-8258-4696-8DFE-D8E59E8B71AD}"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8"/>
              <c:layout>
                <c:manualLayout>
                  <c:x val="2.0234903328147674E-2"/>
                  <c:y val="1.72255085820106E-2"/>
                </c:manualLayout>
              </c:layout>
              <c:tx>
                <c:rich>
                  <a:bodyPr/>
                  <a:lstStyle/>
                  <a:p>
                    <a:fld id="{5984AB1E-73BB-4A9F-8C98-8AD57119E096}" type="CELLRANGE">
                      <a:rPr lang="ja-JP" altLang="en-US"/>
                      <a:pPr/>
                      <a:t>[CELLRANGE]</a:t>
                    </a:fld>
                    <a:endParaRPr lang="ja-JP" altLang="en-US"/>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Lst>
            </c:dLbl>
            <c:dLbl>
              <c:idx val="9"/>
              <c:tx>
                <c:rich>
                  <a:bodyPr/>
                  <a:lstStyle/>
                  <a:p>
                    <a:fld id="{5EBACF1A-2B72-4282-83AB-330E2748816D}"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10"/>
              <c:tx>
                <c:rich>
                  <a:bodyPr/>
                  <a:lstStyle/>
                  <a:p>
                    <a:fld id="{9EC9AACF-E2A9-4D7F-BCC6-1E790B98AF4E}"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11"/>
              <c:layout>
                <c:manualLayout>
                  <c:x val="4.4516787321924885E-2"/>
                  <c:y val="5.4547443843033463E-2"/>
                </c:manualLayout>
              </c:layout>
              <c:tx>
                <c:rich>
                  <a:bodyPr/>
                  <a:lstStyle/>
                  <a:p>
                    <a:fld id="{4B116268-E8A3-4E71-803C-0CCA09741D9D}" type="CELLRANGE">
                      <a:rPr lang="ja-JP" altLang="en-US"/>
                      <a:pPr/>
                      <a:t>[CELLRANGE]</a:t>
                    </a:fld>
                    <a:endParaRPr lang="ja-JP" altLang="en-US"/>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Lst>
            </c:dLbl>
            <c:dLbl>
              <c:idx val="12"/>
              <c:layout>
                <c:manualLayout>
                  <c:x val="3.6422825990665812E-2"/>
                  <c:y val="-1.4354590485008834E-2"/>
                </c:manualLayout>
              </c:layout>
              <c:tx>
                <c:rich>
                  <a:bodyPr/>
                  <a:lstStyle/>
                  <a:p>
                    <a:fld id="{CDB43DE0-BB65-4415-946E-869CBE436D99}" type="CELLRANGE">
                      <a:rPr lang="ja-JP" altLang="en-US"/>
                      <a:pPr/>
                      <a:t>[CELLRANGE]</a:t>
                    </a:fld>
                    <a:endParaRPr lang="ja-JP" altLang="en-US"/>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Lst>
            </c:dLbl>
            <c:dLbl>
              <c:idx val="13"/>
              <c:layout>
                <c:manualLayout>
                  <c:x val="-5.6657729318813507E-2"/>
                  <c:y val="-6.6031116231040743E-2"/>
                </c:manualLayout>
              </c:layout>
              <c:tx>
                <c:rich>
                  <a:bodyPr/>
                  <a:lstStyle/>
                  <a:p>
                    <a:fld id="{3D98A9C5-9286-4F5E-BFA8-DB6A3CA6801C}" type="CELLRANGE">
                      <a:rPr lang="ja-JP" altLang="en-US"/>
                      <a:pPr/>
                      <a:t>[CELLRANGE]</a:t>
                    </a:fld>
                    <a:endParaRPr lang="ja-JP" altLang="en-US"/>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Lst>
            </c:dLbl>
            <c:dLbl>
              <c:idx val="14"/>
              <c:layout>
                <c:manualLayout>
                  <c:x val="5.4634238985998687E-2"/>
                  <c:y val="7.1772952425044168E-2"/>
                </c:manualLayout>
              </c:layout>
              <c:tx>
                <c:rich>
                  <a:bodyPr/>
                  <a:lstStyle/>
                  <a:p>
                    <a:fld id="{9B106B1A-8AEE-4A7C-A298-E1C67812D4F7}" type="CELLRANGE">
                      <a:rPr lang="ja-JP" altLang="en-US"/>
                      <a:pPr/>
                      <a:t>[CELLRANGE]</a:t>
                    </a:fld>
                    <a:endParaRPr lang="ja-JP" altLang="en-US"/>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Lst>
            </c:dLbl>
            <c:dLbl>
              <c:idx val="15"/>
              <c:delete val="1"/>
              <c:extLst xmlns:c16r2="http://schemas.microsoft.com/office/drawing/2015/06/chart">
                <c:ext xmlns:c15="http://schemas.microsoft.com/office/drawing/2012/chart" uri="{CE6537A1-D6FC-4f65-9D91-7224C49458BB}"/>
              </c:extLst>
            </c:dLbl>
            <c:dLbl>
              <c:idx val="16"/>
              <c:tx>
                <c:rich>
                  <a:bodyPr/>
                  <a:lstStyle/>
                  <a:p>
                    <a:fld id="{FD61B44C-1511-420E-B64F-5B6BC4ADBD78}"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17"/>
              <c:delete val="1"/>
              <c:extLst xmlns:c16r2="http://schemas.microsoft.com/office/drawing/2015/06/chart">
                <c:ext xmlns:c15="http://schemas.microsoft.com/office/drawing/2012/chart" uri="{CE6537A1-D6FC-4f65-9D91-7224C49458BB}"/>
              </c:extLst>
            </c:dLbl>
            <c:dLbl>
              <c:idx val="18"/>
              <c:delete val="1"/>
              <c:extLst xmlns:c16r2="http://schemas.microsoft.com/office/drawing/2015/06/chart">
                <c:ext xmlns:c15="http://schemas.microsoft.com/office/drawing/2012/chart" uri="{CE6537A1-D6FC-4f65-9D91-7224C49458BB}"/>
              </c:extLst>
            </c:dLbl>
            <c:dLbl>
              <c:idx val="19"/>
              <c:delete val="1"/>
              <c:extLst xmlns:c16r2="http://schemas.microsoft.com/office/drawing/2015/06/chart">
                <c:ext xmlns:c15="http://schemas.microsoft.com/office/drawing/2012/chart" uri="{CE6537A1-D6FC-4f65-9D91-7224C49458BB}"/>
              </c:extLst>
            </c:dLbl>
            <c:dLbl>
              <c:idx val="20"/>
              <c:delete val="1"/>
              <c:extLst xmlns:c16r2="http://schemas.microsoft.com/office/drawing/2015/06/chart">
                <c:ext xmlns:c15="http://schemas.microsoft.com/office/drawing/2012/chart" uri="{CE6537A1-D6FC-4f65-9D91-7224C49458BB}"/>
              </c:extLst>
            </c:dLbl>
            <c:dLbl>
              <c:idx val="21"/>
              <c:delete val="1"/>
              <c:extLst xmlns:c16r2="http://schemas.microsoft.com/office/drawing/2015/06/chart">
                <c:ext xmlns:c15="http://schemas.microsoft.com/office/drawing/2012/chart" uri="{CE6537A1-D6FC-4f65-9D91-7224C49458BB}"/>
              </c:extLst>
            </c:dLbl>
            <c:dLbl>
              <c:idx val="22"/>
              <c:delete val="1"/>
              <c:extLst xmlns:c16r2="http://schemas.microsoft.com/office/drawing/2015/06/chart">
                <c:ext xmlns:c15="http://schemas.microsoft.com/office/drawing/2012/chart" uri="{CE6537A1-D6FC-4f65-9D91-7224C49458BB}"/>
              </c:extLst>
            </c:dLbl>
            <c:dLbl>
              <c:idx val="23"/>
              <c:delete val="1"/>
              <c:extLst xmlns:c16r2="http://schemas.microsoft.com/office/drawing/2015/06/chart">
                <c:ext xmlns:c15="http://schemas.microsoft.com/office/drawing/2012/chart" uri="{CE6537A1-D6FC-4f65-9D91-7224C49458BB}"/>
              </c:extLst>
            </c:dLbl>
            <c:dLbl>
              <c:idx val="24"/>
              <c:delete val="1"/>
              <c:extLst xmlns:c16r2="http://schemas.microsoft.com/office/drawing/2015/06/chart">
                <c:ext xmlns:c15="http://schemas.microsoft.com/office/drawing/2012/chart" uri="{CE6537A1-D6FC-4f65-9D91-7224C49458BB}"/>
              </c:extLst>
            </c:dLbl>
            <c:dLbl>
              <c:idx val="25"/>
              <c:delete val="1"/>
              <c:extLst xmlns:c16r2="http://schemas.microsoft.com/office/drawing/2015/06/chart">
                <c:ext xmlns:c15="http://schemas.microsoft.com/office/drawing/2012/chart" uri="{CE6537A1-D6FC-4f65-9D91-7224C49458BB}"/>
              </c:extLst>
            </c:dLbl>
            <c:dLbl>
              <c:idx val="26"/>
              <c:delete val="1"/>
              <c:extLst xmlns:c16r2="http://schemas.microsoft.com/office/drawing/2015/06/chart">
                <c:ext xmlns:c15="http://schemas.microsoft.com/office/drawing/2012/chart" uri="{CE6537A1-D6FC-4f65-9D91-7224C49458BB}"/>
              </c:extLst>
            </c:dLbl>
            <c:dLbl>
              <c:idx val="27"/>
              <c:delete val="1"/>
              <c:extLst xmlns:c16r2="http://schemas.microsoft.com/office/drawing/2015/06/chart">
                <c:ext xmlns:c15="http://schemas.microsoft.com/office/drawing/2012/chart" uri="{CE6537A1-D6FC-4f65-9D91-7224C49458BB}"/>
              </c:extLst>
            </c:dLbl>
            <c:dLbl>
              <c:idx val="28"/>
              <c:delete val="1"/>
              <c:extLst xmlns:c16r2="http://schemas.microsoft.com/office/drawing/2015/06/chart">
                <c:ext xmlns:c15="http://schemas.microsoft.com/office/drawing/2012/chart" uri="{CE6537A1-D6FC-4f65-9D91-7224C49458BB}"/>
              </c:extLst>
            </c:dLbl>
            <c:dLbl>
              <c:idx val="29"/>
              <c:delete val="1"/>
              <c:extLst xmlns:c16r2="http://schemas.microsoft.com/office/drawing/2015/06/chart">
                <c:ext xmlns:c15="http://schemas.microsoft.com/office/drawing/2012/chart" uri="{CE6537A1-D6FC-4f65-9D91-7224C49458BB}"/>
              </c:extLst>
            </c:dLbl>
            <c:dLbl>
              <c:idx val="30"/>
              <c:delete val="1"/>
              <c:extLst xmlns:c16r2="http://schemas.microsoft.com/office/drawing/2015/06/chart">
                <c:ext xmlns:c15="http://schemas.microsoft.com/office/drawing/2012/chart" uri="{CE6537A1-D6FC-4f65-9D91-7224C49458BB}"/>
              </c:extLst>
            </c:dLbl>
            <c:dLbl>
              <c:idx val="31"/>
              <c:delete val="1"/>
              <c:extLst xmlns:c16r2="http://schemas.microsoft.com/office/drawing/2015/06/chart">
                <c:ext xmlns:c15="http://schemas.microsoft.com/office/drawing/2012/chart" uri="{CE6537A1-D6FC-4f65-9D91-7224C49458BB}"/>
              </c:extLst>
            </c:dLbl>
            <c:dLbl>
              <c:idx val="32"/>
              <c:delete val="1"/>
              <c:extLst xmlns:c16r2="http://schemas.microsoft.com/office/drawing/2015/06/chart">
                <c:ext xmlns:c15="http://schemas.microsoft.com/office/drawing/2012/chart" uri="{CE6537A1-D6FC-4f65-9D91-7224C49458BB}"/>
              </c:extLst>
            </c:dLbl>
            <c:dLbl>
              <c:idx val="33"/>
              <c:delete val="1"/>
              <c:extLst xmlns:c16r2="http://schemas.microsoft.com/office/drawing/2015/06/chart">
                <c:ext xmlns:c15="http://schemas.microsoft.com/office/drawing/2012/chart" uri="{CE6537A1-D6FC-4f65-9D91-7224C49458BB}"/>
              </c:extLst>
            </c:dLbl>
            <c:dLbl>
              <c:idx val="34"/>
              <c:delete val="1"/>
              <c:extLst xmlns:c16r2="http://schemas.microsoft.com/office/drawing/2015/06/char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800"/>
                </a:pPr>
                <a:endParaRPr lang="ja-JP"/>
              </a:p>
            </c:txPr>
            <c:showLegendKey val="0"/>
            <c:showVal val="0"/>
            <c:showCatName val="0"/>
            <c:showSerName val="0"/>
            <c:showPercent val="0"/>
            <c:showBubbleSize val="0"/>
            <c:showLeaderLines val="0"/>
            <c:extLst xmlns:c16r2="http://schemas.microsoft.com/office/drawing/2015/06/chart">
              <c:ext xmlns:c15="http://schemas.microsoft.com/office/drawing/2012/chart" uri="{CE6537A1-D6FC-4f65-9D91-7224C49458BB}">
                <c15:showDataLabelsRange val="1"/>
                <c15:showLeaderLines val="1"/>
              </c:ext>
            </c:extLst>
          </c:dLbls>
          <c:trendline>
            <c:spPr>
              <a:ln w="19050" cap="rnd">
                <a:solidFill>
                  <a:schemeClr val="accent1"/>
                </a:solidFill>
                <a:prstDash val="sysDot"/>
              </a:ln>
              <a:effectLst/>
            </c:spPr>
            <c:trendlineType val="linear"/>
            <c:intercept val="0"/>
            <c:dispRSqr val="1"/>
            <c:dispEq val="1"/>
            <c:trendlineLbl>
              <c:layout>
                <c:manualLayout>
                  <c:x val="-0.16656002182182961"/>
                  <c:y val="3.7321935261022968E-2"/>
                </c:manualLayout>
              </c:layout>
              <c:numFmt formatCode="General" sourceLinked="0"/>
              <c:txPr>
                <a:bodyPr/>
                <a:lstStyle/>
                <a:p>
                  <a:pPr>
                    <a:defRPr sz="1050"/>
                  </a:pPr>
                  <a:endParaRPr lang="ja-JP"/>
                </a:p>
              </c:txPr>
            </c:trendlineLbl>
          </c:trendline>
          <c:xVal>
            <c:numRef>
              <c:f>[消費の漏れ.xlsx]Sheet1!$J$4:$J$38</c:f>
              <c:numCache>
                <c:formatCode>#,##0_ </c:formatCode>
                <c:ptCount val="35"/>
                <c:pt idx="0">
                  <c:v>12945.020200000001</c:v>
                </c:pt>
                <c:pt idx="1">
                  <c:v>14500.689469999999</c:v>
                </c:pt>
                <c:pt idx="2">
                  <c:v>3762.36364</c:v>
                </c:pt>
                <c:pt idx="3">
                  <c:v>686.85673999999995</c:v>
                </c:pt>
                <c:pt idx="4">
                  <c:v>2130.2966900000001</c:v>
                </c:pt>
                <c:pt idx="5">
                  <c:v>2307.4669100000001</c:v>
                </c:pt>
                <c:pt idx="6">
                  <c:v>1076.92473</c:v>
                </c:pt>
                <c:pt idx="7">
                  <c:v>1707.5459000000001</c:v>
                </c:pt>
                <c:pt idx="8">
                  <c:v>4642.41104</c:v>
                </c:pt>
                <c:pt idx="9">
                  <c:v>2933.3341300000002</c:v>
                </c:pt>
                <c:pt idx="10">
                  <c:v>2445.9154899999999</c:v>
                </c:pt>
                <c:pt idx="11">
                  <c:v>2038.56059</c:v>
                </c:pt>
                <c:pt idx="12">
                  <c:v>2549.3606199999999</c:v>
                </c:pt>
                <c:pt idx="13">
                  <c:v>1591.1734100000001</c:v>
                </c:pt>
                <c:pt idx="14">
                  <c:v>1445.65489</c:v>
                </c:pt>
                <c:pt idx="15">
                  <c:v>339.32177999999999</c:v>
                </c:pt>
                <c:pt idx="16">
                  <c:v>1010.10136</c:v>
                </c:pt>
                <c:pt idx="17">
                  <c:v>1111.49314</c:v>
                </c:pt>
                <c:pt idx="18">
                  <c:v>509.85059000000001</c:v>
                </c:pt>
                <c:pt idx="19">
                  <c:v>569.66819999999996</c:v>
                </c:pt>
                <c:pt idx="20">
                  <c:v>774.92780000000005</c:v>
                </c:pt>
                <c:pt idx="21">
                  <c:v>825.48343999999997</c:v>
                </c:pt>
                <c:pt idx="22">
                  <c:v>749.65949000000001</c:v>
                </c:pt>
                <c:pt idx="23">
                  <c:v>177.90273999999999</c:v>
                </c:pt>
                <c:pt idx="24">
                  <c:v>103.78543000000001</c:v>
                </c:pt>
                <c:pt idx="25">
                  <c:v>114.40871</c:v>
                </c:pt>
                <c:pt idx="26">
                  <c:v>97.282309999999995</c:v>
                </c:pt>
                <c:pt idx="27">
                  <c:v>128.42221000000001</c:v>
                </c:pt>
                <c:pt idx="28">
                  <c:v>649.53580999999997</c:v>
                </c:pt>
                <c:pt idx="29">
                  <c:v>581.82362000000001</c:v>
                </c:pt>
                <c:pt idx="30">
                  <c:v>826.60799999999995</c:v>
                </c:pt>
                <c:pt idx="31">
                  <c:v>342.45591000000002</c:v>
                </c:pt>
                <c:pt idx="32">
                  <c:v>482.75644</c:v>
                </c:pt>
                <c:pt idx="33">
                  <c:v>112.95214</c:v>
                </c:pt>
                <c:pt idx="34">
                  <c:v>310.84510999999998</c:v>
                </c:pt>
              </c:numCache>
            </c:numRef>
          </c:xVal>
          <c:yVal>
            <c:numRef>
              <c:f>[消費の漏れ.xlsx]Sheet1!$K$4:$K$38</c:f>
              <c:numCache>
                <c:formatCode>#,##0_ </c:formatCode>
                <c:ptCount val="35"/>
                <c:pt idx="0">
                  <c:v>8369.32</c:v>
                </c:pt>
                <c:pt idx="1">
                  <c:v>8794.9599999999991</c:v>
                </c:pt>
                <c:pt idx="2">
                  <c:v>2250.17</c:v>
                </c:pt>
                <c:pt idx="3">
                  <c:v>292.18</c:v>
                </c:pt>
                <c:pt idx="4">
                  <c:v>758.05</c:v>
                </c:pt>
                <c:pt idx="5">
                  <c:v>1121.77</c:v>
                </c:pt>
                <c:pt idx="6">
                  <c:v>709.9</c:v>
                </c:pt>
                <c:pt idx="7">
                  <c:v>869.15</c:v>
                </c:pt>
                <c:pt idx="8">
                  <c:v>2286.0100000000002</c:v>
                </c:pt>
                <c:pt idx="9">
                  <c:v>1428.58</c:v>
                </c:pt>
                <c:pt idx="10">
                  <c:v>1129.05</c:v>
                </c:pt>
                <c:pt idx="11">
                  <c:v>1112.3</c:v>
                </c:pt>
                <c:pt idx="12">
                  <c:v>1324.39</c:v>
                </c:pt>
                <c:pt idx="13">
                  <c:v>1203.8900000000001</c:v>
                </c:pt>
                <c:pt idx="14">
                  <c:v>789.27</c:v>
                </c:pt>
                <c:pt idx="15">
                  <c:v>237.77</c:v>
                </c:pt>
                <c:pt idx="16">
                  <c:v>370.62</c:v>
                </c:pt>
                <c:pt idx="17">
                  <c:v>432.66</c:v>
                </c:pt>
                <c:pt idx="18">
                  <c:v>247.4</c:v>
                </c:pt>
                <c:pt idx="19">
                  <c:v>261.92</c:v>
                </c:pt>
                <c:pt idx="20">
                  <c:v>384.27</c:v>
                </c:pt>
                <c:pt idx="21">
                  <c:v>412.78</c:v>
                </c:pt>
                <c:pt idx="22">
                  <c:v>509.67</c:v>
                </c:pt>
                <c:pt idx="23">
                  <c:v>76.81</c:v>
                </c:pt>
                <c:pt idx="24">
                  <c:v>55.64</c:v>
                </c:pt>
                <c:pt idx="25">
                  <c:v>46.75</c:v>
                </c:pt>
                <c:pt idx="26">
                  <c:v>61.73</c:v>
                </c:pt>
                <c:pt idx="27">
                  <c:v>52.02</c:v>
                </c:pt>
                <c:pt idx="28">
                  <c:v>303.7</c:v>
                </c:pt>
                <c:pt idx="29">
                  <c:v>428.79</c:v>
                </c:pt>
                <c:pt idx="30">
                  <c:v>355.26</c:v>
                </c:pt>
                <c:pt idx="31">
                  <c:v>84.76</c:v>
                </c:pt>
                <c:pt idx="32">
                  <c:v>314.20999999999998</c:v>
                </c:pt>
                <c:pt idx="33">
                  <c:v>40.119999999999997</c:v>
                </c:pt>
                <c:pt idx="34">
                  <c:v>108.94</c:v>
                </c:pt>
              </c:numCache>
            </c:numRef>
          </c:yVal>
          <c:smooth val="0"/>
          <c:extLst xmlns:c16r2="http://schemas.microsoft.com/office/drawing/2015/06/chart">
            <c:ext xmlns:c15="http://schemas.microsoft.com/office/drawing/2012/chart" uri="{02D57815-91ED-43cb-92C2-25804820EDAC}">
              <c15:datalabelsRange>
                <c15:f>[消費の漏れ.xlsx]Sheet1!$D$4:$D$38</c15:f>
                <c15:dlblRangeCache>
                  <c:ptCount val="35"/>
                  <c:pt idx="0">
                    <c:v>静岡市</c:v>
                  </c:pt>
                  <c:pt idx="1">
                    <c:v>浜松市          </c:v>
                  </c:pt>
                  <c:pt idx="2">
                    <c:v>沼津市          </c:v>
                  </c:pt>
                  <c:pt idx="3">
                    <c:v>熱海市          </c:v>
                  </c:pt>
                  <c:pt idx="4">
                    <c:v>三島市          </c:v>
                  </c:pt>
                  <c:pt idx="5">
                    <c:v>富士宮市        </c:v>
                  </c:pt>
                  <c:pt idx="6">
                    <c:v>伊東市          </c:v>
                  </c:pt>
                  <c:pt idx="7">
                    <c:v>島田市          </c:v>
                  </c:pt>
                  <c:pt idx="8">
                    <c:v>富士市          </c:v>
                  </c:pt>
                  <c:pt idx="9">
                    <c:v>磐田市          </c:v>
                  </c:pt>
                  <c:pt idx="10">
                    <c:v>焼津市          </c:v>
                  </c:pt>
                  <c:pt idx="11">
                    <c:v>掛川市          </c:v>
                  </c:pt>
                  <c:pt idx="12">
                    <c:v>藤枝市          </c:v>
                  </c:pt>
                  <c:pt idx="13">
                    <c:v>御殿場市        </c:v>
                  </c:pt>
                  <c:pt idx="14">
                    <c:v>袋井市          </c:v>
                  </c:pt>
                  <c:pt idx="15">
                    <c:v>下田市          </c:v>
                  </c:pt>
                  <c:pt idx="16">
                    <c:v>裾野市          </c:v>
                  </c:pt>
                  <c:pt idx="17">
                    <c:v>湖西市          </c:v>
                  </c:pt>
                  <c:pt idx="18">
                    <c:v>伊豆市          </c:v>
                  </c:pt>
                  <c:pt idx="19">
                    <c:v>御前崎市        </c:v>
                  </c:pt>
                  <c:pt idx="20">
                    <c:v>菊川市          </c:v>
                  </c:pt>
                  <c:pt idx="21">
                    <c:v>伊豆の国市</c:v>
                  </c:pt>
                  <c:pt idx="22">
                    <c:v>牧之原市        </c:v>
                  </c:pt>
                  <c:pt idx="23">
                    <c:v>東伊豆町        </c:v>
                  </c:pt>
                  <c:pt idx="24">
                    <c:v>河津町          </c:v>
                  </c:pt>
                  <c:pt idx="25">
                    <c:v>南伊豆町        </c:v>
                  </c:pt>
                  <c:pt idx="26">
                    <c:v>松崎町          </c:v>
                  </c:pt>
                  <c:pt idx="27">
                    <c:v>西伊豆町        </c:v>
                  </c:pt>
                  <c:pt idx="28">
                    <c:v>函南町          </c:v>
                  </c:pt>
                  <c:pt idx="29">
                    <c:v>清水町          </c:v>
                  </c:pt>
                  <c:pt idx="30">
                    <c:v>長泉町          </c:v>
                  </c:pt>
                  <c:pt idx="31">
                    <c:v>小山町          </c:v>
                  </c:pt>
                  <c:pt idx="32">
                    <c:v>吉田町          </c:v>
                  </c:pt>
                  <c:pt idx="33">
                    <c:v>川根本町        </c:v>
                  </c:pt>
                  <c:pt idx="34">
                    <c:v>森町            </c:v>
                  </c:pt>
                </c15:dlblRangeCache>
              </c15:datalabelsRange>
            </c:ext>
          </c:extLst>
        </c:ser>
        <c:dLbls>
          <c:showLegendKey val="0"/>
          <c:showVal val="1"/>
          <c:showCatName val="0"/>
          <c:showSerName val="0"/>
          <c:showPercent val="0"/>
          <c:showBubbleSize val="0"/>
        </c:dLbls>
        <c:axId val="493502912"/>
        <c:axId val="504200152"/>
      </c:scatterChart>
      <c:valAx>
        <c:axId val="493502912"/>
        <c:scaling>
          <c:orientation val="minMax"/>
          <c:max val="15000"/>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a:t>個人所得（億円、</a:t>
                </a:r>
                <a:r>
                  <a:rPr lang="en-US" altLang="ja-JP"/>
                  <a:t>2014</a:t>
                </a:r>
                <a:r>
                  <a:rPr lang="ja-JP" altLang="en-US"/>
                  <a:t>年度）</a:t>
                </a:r>
                <a:endParaRPr lang="en-US" altLang="ja-JP"/>
              </a:p>
            </c:rich>
          </c:tx>
          <c:layout>
            <c:manualLayout>
              <c:xMode val="edge"/>
              <c:yMode val="edge"/>
              <c:x val="0.41514120492444212"/>
              <c:y val="0.92751064453431786"/>
            </c:manualLayout>
          </c:layout>
          <c:overlay val="0"/>
          <c:spPr>
            <a:noFill/>
            <a:ln>
              <a:noFill/>
            </a:ln>
            <a:effectLst/>
          </c:spPr>
        </c:title>
        <c:numFmt formatCode="#,##0_ " sourceLinked="1"/>
        <c:majorTickMark val="cross"/>
        <c:minorTickMark val="none"/>
        <c:tickLblPos val="nextTo"/>
        <c:spPr>
          <a:noFill/>
          <a:ln w="9525" cap="flat" cmpd="sng" algn="ctr">
            <a:solidFill>
              <a:schemeClr val="bg1">
                <a:lumMod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504200152"/>
        <c:crosses val="autoZero"/>
        <c:crossBetween val="midCat"/>
      </c:valAx>
      <c:valAx>
        <c:axId val="504200152"/>
        <c:scaling>
          <c:orientation val="minMax"/>
          <c:max val="9000"/>
          <c:min val="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vert="eaVert"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a:t>小売販売額（億円）</a:t>
                </a:r>
              </a:p>
            </c:rich>
          </c:tx>
          <c:layout>
            <c:manualLayout>
              <c:xMode val="edge"/>
              <c:yMode val="edge"/>
              <c:x val="1.8475750577367205E-2"/>
              <c:y val="0.31972503597778207"/>
            </c:manualLayout>
          </c:layout>
          <c:overlay val="0"/>
          <c:spPr>
            <a:noFill/>
            <a:ln>
              <a:noFill/>
            </a:ln>
            <a:effectLst/>
          </c:spPr>
        </c:title>
        <c:numFmt formatCode="#,##0_ " sourceLinked="1"/>
        <c:majorTickMark val="cross"/>
        <c:minorTickMark val="none"/>
        <c:tickLblPos val="nextTo"/>
        <c:spPr>
          <a:noFill/>
          <a:ln w="9525" cap="flat" cmpd="sng" algn="ctr">
            <a:solidFill>
              <a:schemeClr val="bg1">
                <a:lumMod val="50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ja-JP"/>
          </a:p>
        </c:txPr>
        <c:crossAx val="493502912"/>
        <c:crosses val="autoZero"/>
        <c:crossBetween val="midCat"/>
      </c:valAx>
      <c:spPr>
        <a:noFill/>
        <a:ln>
          <a:solidFill>
            <a:schemeClr val="bg1">
              <a:lumMod val="65000"/>
            </a:schemeClr>
          </a:solidFill>
        </a:ln>
        <a:effectLst/>
      </c:spPr>
    </c:plotArea>
    <c:plotVisOnly val="1"/>
    <c:dispBlanksAs val="gap"/>
    <c:showDLblsOverMax val="0"/>
  </c:chart>
  <c:spPr>
    <a:solidFill>
      <a:schemeClr val="bg1"/>
    </a:solidFill>
    <a:ln w="9525" cap="flat" cmpd="sng" algn="ctr">
      <a:solidFill>
        <a:schemeClr val="bg1">
          <a:lumMod val="50000"/>
        </a:schemeClr>
      </a:solidFill>
      <a:round/>
    </a:ln>
    <a:effectLst/>
  </c:spPr>
  <c:txPr>
    <a:bodyPr/>
    <a:lstStyle/>
    <a:p>
      <a:pPr>
        <a:defRPr/>
      </a:pPr>
      <a:endParaRPr lang="ja-JP"/>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rgbClr val="FF0000"/>
              </a:solidFill>
              <a:ln w="9525">
                <a:solidFill>
                  <a:srgbClr val="FF0000"/>
                </a:solidFill>
              </a:ln>
              <a:effectLst/>
            </c:spPr>
          </c:marker>
          <c:dLbls>
            <c:dLbl>
              <c:idx val="0"/>
              <c:tx>
                <c:rich>
                  <a:bodyPr/>
                  <a:lstStyle/>
                  <a:p>
                    <a:fld id="{11AF4C7A-F51C-4ABD-889D-BEBB557A7AF7}" type="CELLRANGE">
                      <a:rPr lang="en-US" altLang="ja-JP"/>
                      <a:pPr/>
                      <a:t>[CELLRANGE]</a:t>
                    </a:fld>
                    <a:endParaRPr lang="ja-JP" altLang="en-US"/>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Lst>
            </c:dLbl>
            <c:dLbl>
              <c:idx val="1"/>
              <c:tx>
                <c:rich>
                  <a:bodyPr/>
                  <a:lstStyle/>
                  <a:p>
                    <a:fld id="{53C16753-37F8-438D-A113-3DFAF27D22E7}"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2"/>
              <c:tx>
                <c:rich>
                  <a:bodyPr/>
                  <a:lstStyle/>
                  <a:p>
                    <a:fld id="{3F69E77D-1F5F-423F-B7C7-6C268267AE3A}"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3"/>
              <c:layout>
                <c:manualLayout>
                  <c:x val="2.771362586605081E-2"/>
                  <c:y val="6.8991367930421932E-2"/>
                </c:manualLayout>
              </c:layout>
              <c:tx>
                <c:rich>
                  <a:bodyPr/>
                  <a:lstStyle/>
                  <a:p>
                    <a:fld id="{266F639D-B356-4C75-8105-715A0AE91E56}" type="CELLRANGE">
                      <a:rPr lang="en-US" altLang="ja-JP"/>
                      <a:pPr/>
                      <a:t>[CELLRANGE]</a:t>
                    </a:fld>
                    <a:endParaRPr lang="ja-JP" altLang="en-US"/>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Lst>
            </c:dLbl>
            <c:dLbl>
              <c:idx val="4"/>
              <c:tx>
                <c:rich>
                  <a:bodyPr/>
                  <a:lstStyle/>
                  <a:p>
                    <a:fld id="{24FF2861-81FC-40BE-BAC6-5A7DB570AAED}"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5"/>
              <c:layout>
                <c:manualLayout>
                  <c:x val="5.3117782909930633E-2"/>
                  <c:y val="2.0997372848389175E-2"/>
                </c:manualLayout>
              </c:layout>
              <c:tx>
                <c:rich>
                  <a:bodyPr/>
                  <a:lstStyle/>
                  <a:p>
                    <a:fld id="{75620BCE-B999-4CE1-BC0B-46B8F554DBC3}" type="CELLRANGE">
                      <a:rPr lang="en-US" altLang="ja-JP"/>
                      <a:pPr/>
                      <a:t>[CELLRANGE]</a:t>
                    </a:fld>
                    <a:endParaRPr lang="ja-JP" altLang="en-US"/>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Lst>
            </c:dLbl>
            <c:dLbl>
              <c:idx val="6"/>
              <c:tx>
                <c:rich>
                  <a:bodyPr/>
                  <a:lstStyle/>
                  <a:p>
                    <a:fld id="{B4C048D5-6BA1-4FD2-BC82-E83BDFF41E21}"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7"/>
              <c:tx>
                <c:rich>
                  <a:bodyPr/>
                  <a:lstStyle/>
                  <a:p>
                    <a:fld id="{E5F60733-F61C-4600-B905-B5A8D8C6CD63}"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8"/>
              <c:tx>
                <c:rich>
                  <a:bodyPr/>
                  <a:lstStyle/>
                  <a:p>
                    <a:fld id="{2A86B0F4-2830-4426-874B-9D395FF72E8C}"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9"/>
              <c:tx>
                <c:rich>
                  <a:bodyPr/>
                  <a:lstStyle/>
                  <a:p>
                    <a:fld id="{AF3E6DF2-5307-4110-B784-E8927C3B83C4}"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10"/>
              <c:layout>
                <c:manualLayout>
                  <c:x val="6.9284064665127024E-3"/>
                  <c:y val="-1.79977481557623E-2"/>
                </c:manualLayout>
              </c:layout>
              <c:tx>
                <c:rich>
                  <a:bodyPr/>
                  <a:lstStyle/>
                  <a:p>
                    <a:fld id="{8597E631-1DCB-4F49-9238-109F2F4E4563}" type="CELLRANGE">
                      <a:rPr lang="en-US" altLang="ja-JP"/>
                      <a:pPr/>
                      <a:t>[CELLRANGE]</a:t>
                    </a:fld>
                    <a:endParaRPr lang="ja-JP" altLang="en-US"/>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Lst>
            </c:dLbl>
            <c:dLbl>
              <c:idx val="11"/>
              <c:layout>
                <c:manualLayout>
                  <c:x val="-2.3094688221709007E-3"/>
                  <c:y val="3.5995496311524489E-2"/>
                </c:manualLayout>
              </c:layout>
              <c:tx>
                <c:rich>
                  <a:bodyPr/>
                  <a:lstStyle/>
                  <a:p>
                    <a:fld id="{2EEA82D1-E8AA-445F-A26E-42322BC4296A}" type="CELLRANGE">
                      <a:rPr lang="en-US" altLang="ja-JP"/>
                      <a:pPr/>
                      <a:t>[CELLRANGE]</a:t>
                    </a:fld>
                    <a:endParaRPr lang="ja-JP" altLang="en-US"/>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Lst>
            </c:dLbl>
            <c:dLbl>
              <c:idx val="12"/>
              <c:tx>
                <c:rich>
                  <a:bodyPr/>
                  <a:lstStyle/>
                  <a:p>
                    <a:fld id="{EB4B8AA0-0E8E-4E34-A628-41510FC445A8}"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13"/>
              <c:layout>
                <c:manualLayout>
                  <c:x val="-8.0831408775981523E-2"/>
                  <c:y val="-4.4994370389405611E-2"/>
                </c:manualLayout>
              </c:layout>
              <c:tx>
                <c:rich>
                  <a:bodyPr/>
                  <a:lstStyle/>
                  <a:p>
                    <a:fld id="{7AC3EECB-44FE-46BC-9730-539285F8BCA9}" type="CELLRANGE">
                      <a:rPr lang="en-US" altLang="ja-JP"/>
                      <a:pPr/>
                      <a:t>[CELLRANGE]</a:t>
                    </a:fld>
                    <a:endParaRPr lang="ja-JP" altLang="en-US"/>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Lst>
            </c:dLbl>
            <c:dLbl>
              <c:idx val="14"/>
              <c:tx>
                <c:rich>
                  <a:bodyPr/>
                  <a:lstStyle/>
                  <a:p>
                    <a:fld id="{2D647A93-DF58-47B8-B34B-2641022CABCA}"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15"/>
              <c:delete val="1"/>
              <c:extLst xmlns:c16r2="http://schemas.microsoft.com/office/drawing/2015/06/chart">
                <c:ext xmlns:c15="http://schemas.microsoft.com/office/drawing/2012/chart" uri="{CE6537A1-D6FC-4f65-9D91-7224C49458BB}"/>
              </c:extLst>
            </c:dLbl>
            <c:dLbl>
              <c:idx val="16"/>
              <c:layout>
                <c:manualLayout>
                  <c:x val="0.12240184757505773"/>
                  <c:y val="2.0997372848389175E-2"/>
                </c:manualLayout>
              </c:layout>
              <c:tx>
                <c:rich>
                  <a:bodyPr/>
                  <a:lstStyle/>
                  <a:p>
                    <a:fld id="{D1EE28D2-CF4E-4331-AEFD-068753D1E683}" type="CELLRANGE">
                      <a:rPr lang="en-US" altLang="ja-JP"/>
                      <a:pPr/>
                      <a:t>[CELLRANGE]</a:t>
                    </a:fld>
                    <a:endParaRPr lang="ja-JP" altLang="en-US"/>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Lst>
            </c:dLbl>
            <c:dLbl>
              <c:idx val="17"/>
              <c:tx>
                <c:rich>
                  <a:bodyPr/>
                  <a:lstStyle/>
                  <a:p>
                    <a:fld id="{544BF9D0-D55B-406B-A56E-02B975316F12}"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18"/>
              <c:delete val="1"/>
              <c:extLst xmlns:c16r2="http://schemas.microsoft.com/office/drawing/2015/06/chart">
                <c:ext xmlns:c15="http://schemas.microsoft.com/office/drawing/2012/chart" uri="{CE6537A1-D6FC-4f65-9D91-7224C49458BB}"/>
              </c:extLst>
            </c:dLbl>
            <c:dLbl>
              <c:idx val="19"/>
              <c:delete val="1"/>
              <c:extLst xmlns:c16r2="http://schemas.microsoft.com/office/drawing/2015/06/chart">
                <c:ext xmlns:c15="http://schemas.microsoft.com/office/drawing/2012/chart" uri="{CE6537A1-D6FC-4f65-9D91-7224C49458BB}"/>
              </c:extLst>
            </c:dLbl>
            <c:dLbl>
              <c:idx val="20"/>
              <c:layout>
                <c:manualLayout>
                  <c:x val="5.3117782909930716E-2"/>
                  <c:y val="5.999249385254081E-2"/>
                </c:manualLayout>
              </c:layout>
              <c:tx>
                <c:rich>
                  <a:bodyPr/>
                  <a:lstStyle/>
                  <a:p>
                    <a:fld id="{F7EBC14A-5467-46E6-BE01-013F24FA6E41}" type="CELLRANGE">
                      <a:rPr lang="en-US" altLang="ja-JP"/>
                      <a:pPr/>
                      <a:t>[CELLRANGE]</a:t>
                    </a:fld>
                    <a:endParaRPr lang="ja-JP" altLang="en-US"/>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Lst>
            </c:dLbl>
            <c:dLbl>
              <c:idx val="21"/>
              <c:layout>
                <c:manualLayout>
                  <c:x val="-0.12702078521939955"/>
                  <c:y val="-0.11098611362720061"/>
                </c:manualLayout>
              </c:layout>
              <c:tx>
                <c:rich>
                  <a:bodyPr/>
                  <a:lstStyle/>
                  <a:p>
                    <a:fld id="{15E1705B-76EB-4208-A5DD-078C1CD9023D}" type="CELLRANGE">
                      <a:rPr lang="en-US" altLang="ja-JP"/>
                      <a:pPr/>
                      <a:t>[CELLRANGE]</a:t>
                    </a:fld>
                    <a:endParaRPr lang="ja-JP" altLang="en-US"/>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Lst>
            </c:dLbl>
            <c:dLbl>
              <c:idx val="22"/>
              <c:tx>
                <c:rich>
                  <a:bodyPr/>
                  <a:lstStyle/>
                  <a:p>
                    <a:fld id="{DC911EA8-165A-4FB4-BB4B-46EA2B398576}"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23"/>
              <c:delete val="1"/>
              <c:extLst xmlns:c16r2="http://schemas.microsoft.com/office/drawing/2015/06/chart">
                <c:ext xmlns:c15="http://schemas.microsoft.com/office/drawing/2012/chart" uri="{CE6537A1-D6FC-4f65-9D91-7224C49458BB}"/>
              </c:extLst>
            </c:dLbl>
            <c:dLbl>
              <c:idx val="24"/>
              <c:delete val="1"/>
              <c:extLst xmlns:c16r2="http://schemas.microsoft.com/office/drawing/2015/06/chart">
                <c:ext xmlns:c15="http://schemas.microsoft.com/office/drawing/2012/chart" uri="{CE6537A1-D6FC-4f65-9D91-7224C49458BB}"/>
              </c:extLst>
            </c:dLbl>
            <c:dLbl>
              <c:idx val="25"/>
              <c:delete val="1"/>
              <c:extLst xmlns:c16r2="http://schemas.microsoft.com/office/drawing/2015/06/chart">
                <c:ext xmlns:c15="http://schemas.microsoft.com/office/drawing/2012/chart" uri="{CE6537A1-D6FC-4f65-9D91-7224C49458BB}"/>
              </c:extLst>
            </c:dLbl>
            <c:dLbl>
              <c:idx val="26"/>
              <c:delete val="1"/>
              <c:extLst xmlns:c16r2="http://schemas.microsoft.com/office/drawing/2015/06/chart">
                <c:ext xmlns:c15="http://schemas.microsoft.com/office/drawing/2012/chart" uri="{CE6537A1-D6FC-4f65-9D91-7224C49458BB}"/>
              </c:extLst>
            </c:dLbl>
            <c:dLbl>
              <c:idx val="27"/>
              <c:delete val="1"/>
              <c:extLst xmlns:c16r2="http://schemas.microsoft.com/office/drawing/2015/06/chart">
                <c:ext xmlns:c15="http://schemas.microsoft.com/office/drawing/2012/chart" uri="{CE6537A1-D6FC-4f65-9D91-7224C49458BB}"/>
              </c:extLst>
            </c:dLbl>
            <c:dLbl>
              <c:idx val="28"/>
              <c:delete val="1"/>
              <c:extLst xmlns:c16r2="http://schemas.microsoft.com/office/drawing/2015/06/chart">
                <c:ext xmlns:c15="http://schemas.microsoft.com/office/drawing/2012/chart" uri="{CE6537A1-D6FC-4f65-9D91-7224C49458BB}"/>
              </c:extLst>
            </c:dLbl>
            <c:dLbl>
              <c:idx val="29"/>
              <c:tx>
                <c:rich>
                  <a:bodyPr/>
                  <a:lstStyle/>
                  <a:p>
                    <a:fld id="{E9205498-CD96-4067-A7DE-208616ACD19A}"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30"/>
              <c:tx>
                <c:rich>
                  <a:bodyPr wrap="square" lIns="38100" tIns="19050" rIns="38100" bIns="19050" anchor="ctr">
                    <a:noAutofit/>
                  </a:bodyPr>
                  <a:lstStyle/>
                  <a:p>
                    <a:pPr>
                      <a:defRPr sz="800"/>
                    </a:pPr>
                    <a:fld id="{1E6EC45A-CE06-41A3-837A-3E631112A0FE}" type="CELLRANGE">
                      <a:rPr lang="ja-JP" altLang="en-US"/>
                      <a:pPr>
                        <a:defRPr sz="800"/>
                      </a:pPr>
                      <a:t>[CELLRANGE]</a:t>
                    </a:fld>
                    <a:endParaRPr lang="ja-JP" altLang="en-US"/>
                  </a:p>
                </c:rich>
              </c:tx>
              <c:spPr>
                <a:noFill/>
                <a:ln>
                  <a:noFill/>
                </a:ln>
                <a:effectLst/>
              </c:sp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dlblFieldTable/>
                  <c15:xForSave val="1"/>
                  <c15:showDataLabelsRange val="1"/>
                </c:ext>
              </c:extLst>
            </c:dLbl>
            <c:dLbl>
              <c:idx val="31"/>
              <c:tx>
                <c:rich>
                  <a:bodyPr/>
                  <a:lstStyle/>
                  <a:p>
                    <a:fld id="{CA137BDD-606E-4FFB-A3E6-BF41E67CC241}" type="CELLRANGE">
                      <a:rPr lang="ja-JP" altLang="en-US"/>
                      <a:pPr/>
                      <a:t>[CELLRANGE]</a:t>
                    </a:fld>
                    <a:endParaRPr lang="ja-JP" alt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32"/>
              <c:delete val="1"/>
              <c:extLst xmlns:c16r2="http://schemas.microsoft.com/office/drawing/2015/06/chart">
                <c:ext xmlns:c15="http://schemas.microsoft.com/office/drawing/2012/chart" uri="{CE6537A1-D6FC-4f65-9D91-7224C49458BB}"/>
              </c:extLst>
            </c:dLbl>
            <c:dLbl>
              <c:idx val="33"/>
              <c:delete val="1"/>
              <c:extLst xmlns:c16r2="http://schemas.microsoft.com/office/drawing/2015/06/chart">
                <c:ext xmlns:c15="http://schemas.microsoft.com/office/drawing/2012/chart" uri="{CE6537A1-D6FC-4f65-9D91-7224C49458BB}"/>
              </c:extLst>
            </c:dLbl>
            <c:dLbl>
              <c:idx val="34"/>
              <c:delete val="1"/>
              <c:extLst xmlns:c16r2="http://schemas.microsoft.com/office/drawing/2015/06/char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800"/>
                </a:pPr>
                <a:endParaRPr lang="ja-JP"/>
              </a:p>
            </c:txPr>
            <c:showLegendKey val="0"/>
            <c:showVal val="0"/>
            <c:showCatName val="0"/>
            <c:showSerName val="0"/>
            <c:showPercent val="0"/>
            <c:showBubbleSize val="0"/>
            <c:showLeaderLines val="0"/>
            <c:extLst xmlns:c16r2="http://schemas.microsoft.com/office/drawing/2015/06/chart">
              <c:ext xmlns:c15="http://schemas.microsoft.com/office/drawing/2012/chart" uri="{CE6537A1-D6FC-4f65-9D91-7224C49458BB}">
                <c15:showDataLabelsRange val="1"/>
                <c15:showLeaderLines val="1"/>
              </c:ext>
            </c:extLst>
          </c:dLbls>
          <c:trendline>
            <c:spPr>
              <a:ln w="19050" cap="rnd">
                <a:solidFill>
                  <a:schemeClr val="accent1"/>
                </a:solidFill>
                <a:prstDash val="sysDot"/>
              </a:ln>
              <a:effectLst/>
            </c:spPr>
            <c:trendlineType val="linear"/>
            <c:intercept val="0"/>
            <c:dispRSqr val="1"/>
            <c:dispEq val="1"/>
            <c:trendlineLbl>
              <c:layout>
                <c:manualLayout>
                  <c:x val="-0.425769144896953"/>
                  <c:y val="2.5882683284723103E-2"/>
                </c:manualLayout>
              </c:layout>
              <c:numFmt formatCode="General" sourceLinked="0"/>
              <c:txPr>
                <a:bodyPr/>
                <a:lstStyle/>
                <a:p>
                  <a:pPr>
                    <a:defRPr sz="1050"/>
                  </a:pPr>
                  <a:endParaRPr lang="ja-JP"/>
                </a:p>
              </c:txPr>
            </c:trendlineLbl>
          </c:trendline>
          <c:xVal>
            <c:numRef>
              <c:f>[消費の漏れ.xlsx]Sheet1!$J$4:$J$38</c:f>
              <c:numCache>
                <c:formatCode>#,##0_ </c:formatCode>
                <c:ptCount val="35"/>
                <c:pt idx="0">
                  <c:v>12945.020200000001</c:v>
                </c:pt>
                <c:pt idx="1">
                  <c:v>14500.689469999999</c:v>
                </c:pt>
                <c:pt idx="2">
                  <c:v>3762.36364</c:v>
                </c:pt>
                <c:pt idx="3">
                  <c:v>686.85673999999995</c:v>
                </c:pt>
                <c:pt idx="4">
                  <c:v>2130.2966900000001</c:v>
                </c:pt>
                <c:pt idx="5">
                  <c:v>2307.4669100000001</c:v>
                </c:pt>
                <c:pt idx="6">
                  <c:v>1076.92473</c:v>
                </c:pt>
                <c:pt idx="7">
                  <c:v>1707.5459000000001</c:v>
                </c:pt>
                <c:pt idx="8">
                  <c:v>4642.41104</c:v>
                </c:pt>
                <c:pt idx="9">
                  <c:v>2933.3341300000002</c:v>
                </c:pt>
                <c:pt idx="10">
                  <c:v>2445.9154899999999</c:v>
                </c:pt>
                <c:pt idx="11">
                  <c:v>2038.56059</c:v>
                </c:pt>
                <c:pt idx="12">
                  <c:v>2549.3606199999999</c:v>
                </c:pt>
                <c:pt idx="13">
                  <c:v>1591.1734100000001</c:v>
                </c:pt>
                <c:pt idx="14">
                  <c:v>1445.65489</c:v>
                </c:pt>
                <c:pt idx="15">
                  <c:v>339.32177999999999</c:v>
                </c:pt>
                <c:pt idx="16">
                  <c:v>1010.10136</c:v>
                </c:pt>
                <c:pt idx="17">
                  <c:v>1111.49314</c:v>
                </c:pt>
                <c:pt idx="18">
                  <c:v>509.85059000000001</c:v>
                </c:pt>
                <c:pt idx="19">
                  <c:v>569.66819999999996</c:v>
                </c:pt>
                <c:pt idx="20">
                  <c:v>774.92780000000005</c:v>
                </c:pt>
                <c:pt idx="21">
                  <c:v>825.48343999999997</c:v>
                </c:pt>
                <c:pt idx="22">
                  <c:v>749.65949000000001</c:v>
                </c:pt>
                <c:pt idx="23">
                  <c:v>177.90273999999999</c:v>
                </c:pt>
                <c:pt idx="24">
                  <c:v>103.78543000000001</c:v>
                </c:pt>
                <c:pt idx="25">
                  <c:v>114.40871</c:v>
                </c:pt>
                <c:pt idx="26">
                  <c:v>97.282309999999995</c:v>
                </c:pt>
                <c:pt idx="27">
                  <c:v>128.42221000000001</c:v>
                </c:pt>
                <c:pt idx="28">
                  <c:v>649.53580999999997</c:v>
                </c:pt>
                <c:pt idx="29">
                  <c:v>581.82362000000001</c:v>
                </c:pt>
                <c:pt idx="30">
                  <c:v>826.60799999999995</c:v>
                </c:pt>
                <c:pt idx="31">
                  <c:v>342.45591000000002</c:v>
                </c:pt>
                <c:pt idx="32">
                  <c:v>482.75644</c:v>
                </c:pt>
                <c:pt idx="33">
                  <c:v>112.95214</c:v>
                </c:pt>
                <c:pt idx="34">
                  <c:v>310.84510999999998</c:v>
                </c:pt>
              </c:numCache>
            </c:numRef>
          </c:xVal>
          <c:yVal>
            <c:numRef>
              <c:f>[消費の漏れ.xlsx]Sheet1!$K$4:$K$38</c:f>
              <c:numCache>
                <c:formatCode>#,##0_ </c:formatCode>
                <c:ptCount val="35"/>
                <c:pt idx="0">
                  <c:v>8369.32</c:v>
                </c:pt>
                <c:pt idx="1">
                  <c:v>8794.9599999999991</c:v>
                </c:pt>
                <c:pt idx="2">
                  <c:v>2250.17</c:v>
                </c:pt>
                <c:pt idx="3">
                  <c:v>292.18</c:v>
                </c:pt>
                <c:pt idx="4">
                  <c:v>758.05</c:v>
                </c:pt>
                <c:pt idx="5">
                  <c:v>1121.77</c:v>
                </c:pt>
                <c:pt idx="6">
                  <c:v>709.9</c:v>
                </c:pt>
                <c:pt idx="7">
                  <c:v>869.15</c:v>
                </c:pt>
                <c:pt idx="8">
                  <c:v>2286.0100000000002</c:v>
                </c:pt>
                <c:pt idx="9">
                  <c:v>1428.58</c:v>
                </c:pt>
                <c:pt idx="10">
                  <c:v>1129.05</c:v>
                </c:pt>
                <c:pt idx="11">
                  <c:v>1112.3</c:v>
                </c:pt>
                <c:pt idx="12">
                  <c:v>1324.39</c:v>
                </c:pt>
                <c:pt idx="13">
                  <c:v>1203.8900000000001</c:v>
                </c:pt>
                <c:pt idx="14">
                  <c:v>789.27</c:v>
                </c:pt>
                <c:pt idx="15">
                  <c:v>237.77</c:v>
                </c:pt>
                <c:pt idx="16">
                  <c:v>370.62</c:v>
                </c:pt>
                <c:pt idx="17">
                  <c:v>432.66</c:v>
                </c:pt>
                <c:pt idx="18">
                  <c:v>247.4</c:v>
                </c:pt>
                <c:pt idx="19">
                  <c:v>261.92</c:v>
                </c:pt>
                <c:pt idx="20">
                  <c:v>384.27</c:v>
                </c:pt>
                <c:pt idx="21">
                  <c:v>412.78</c:v>
                </c:pt>
                <c:pt idx="22">
                  <c:v>509.67</c:v>
                </c:pt>
                <c:pt idx="23">
                  <c:v>76.81</c:v>
                </c:pt>
                <c:pt idx="24">
                  <c:v>55.64</c:v>
                </c:pt>
                <c:pt idx="25">
                  <c:v>46.75</c:v>
                </c:pt>
                <c:pt idx="26">
                  <c:v>61.73</c:v>
                </c:pt>
                <c:pt idx="27">
                  <c:v>52.02</c:v>
                </c:pt>
                <c:pt idx="28">
                  <c:v>303.7</c:v>
                </c:pt>
                <c:pt idx="29">
                  <c:v>428.79</c:v>
                </c:pt>
                <c:pt idx="30">
                  <c:v>355.26</c:v>
                </c:pt>
                <c:pt idx="31">
                  <c:v>84.76</c:v>
                </c:pt>
                <c:pt idx="32">
                  <c:v>314.20999999999998</c:v>
                </c:pt>
                <c:pt idx="33">
                  <c:v>40.119999999999997</c:v>
                </c:pt>
                <c:pt idx="34">
                  <c:v>108.94</c:v>
                </c:pt>
              </c:numCache>
            </c:numRef>
          </c:yVal>
          <c:smooth val="0"/>
          <c:extLst xmlns:c16r2="http://schemas.microsoft.com/office/drawing/2015/06/chart">
            <c:ext xmlns:c15="http://schemas.microsoft.com/office/drawing/2012/chart" uri="{02D57815-91ED-43cb-92C2-25804820EDAC}">
              <c15:datalabelsRange>
                <c15:f>[消費の漏れ.xlsx]Sheet1!$D$4:$D$38</c15:f>
                <c15:dlblRangeCache>
                  <c:ptCount val="35"/>
                  <c:pt idx="0">
                    <c:v>静岡市</c:v>
                  </c:pt>
                  <c:pt idx="1">
                    <c:v>浜松市          </c:v>
                  </c:pt>
                  <c:pt idx="2">
                    <c:v>沼津市          </c:v>
                  </c:pt>
                  <c:pt idx="3">
                    <c:v>熱海市          </c:v>
                  </c:pt>
                  <c:pt idx="4">
                    <c:v>三島市          </c:v>
                  </c:pt>
                  <c:pt idx="5">
                    <c:v>富士宮市        </c:v>
                  </c:pt>
                  <c:pt idx="6">
                    <c:v>伊東市          </c:v>
                  </c:pt>
                  <c:pt idx="7">
                    <c:v>島田市          </c:v>
                  </c:pt>
                  <c:pt idx="8">
                    <c:v>富士市          </c:v>
                  </c:pt>
                  <c:pt idx="9">
                    <c:v>磐田市          </c:v>
                  </c:pt>
                  <c:pt idx="10">
                    <c:v>焼津市          </c:v>
                  </c:pt>
                  <c:pt idx="11">
                    <c:v>掛川市          </c:v>
                  </c:pt>
                  <c:pt idx="12">
                    <c:v>藤枝市          </c:v>
                  </c:pt>
                  <c:pt idx="13">
                    <c:v>御殿場市        </c:v>
                  </c:pt>
                  <c:pt idx="14">
                    <c:v>袋井市          </c:v>
                  </c:pt>
                  <c:pt idx="15">
                    <c:v>下田市          </c:v>
                  </c:pt>
                  <c:pt idx="16">
                    <c:v>裾野市          </c:v>
                  </c:pt>
                  <c:pt idx="17">
                    <c:v>湖西市          </c:v>
                  </c:pt>
                  <c:pt idx="18">
                    <c:v>伊豆市          </c:v>
                  </c:pt>
                  <c:pt idx="19">
                    <c:v>御前崎市        </c:v>
                  </c:pt>
                  <c:pt idx="20">
                    <c:v>菊川市          </c:v>
                  </c:pt>
                  <c:pt idx="21">
                    <c:v>伊豆の国市</c:v>
                  </c:pt>
                  <c:pt idx="22">
                    <c:v>牧之原市        </c:v>
                  </c:pt>
                  <c:pt idx="23">
                    <c:v>東伊豆町        </c:v>
                  </c:pt>
                  <c:pt idx="24">
                    <c:v>河津町          </c:v>
                  </c:pt>
                  <c:pt idx="25">
                    <c:v>南伊豆町        </c:v>
                  </c:pt>
                  <c:pt idx="26">
                    <c:v>松崎町          </c:v>
                  </c:pt>
                  <c:pt idx="27">
                    <c:v>西伊豆町        </c:v>
                  </c:pt>
                  <c:pt idx="28">
                    <c:v>函南町          </c:v>
                  </c:pt>
                  <c:pt idx="29">
                    <c:v>清水町          </c:v>
                  </c:pt>
                  <c:pt idx="30">
                    <c:v>長泉町          </c:v>
                  </c:pt>
                  <c:pt idx="31">
                    <c:v>小山町          </c:v>
                  </c:pt>
                  <c:pt idx="32">
                    <c:v>吉田町          </c:v>
                  </c:pt>
                  <c:pt idx="33">
                    <c:v>川根本町        </c:v>
                  </c:pt>
                  <c:pt idx="34">
                    <c:v>森町            </c:v>
                  </c:pt>
                </c15:dlblRangeCache>
              </c15:datalabelsRange>
            </c:ext>
          </c:extLst>
        </c:ser>
        <c:dLbls>
          <c:showLegendKey val="0"/>
          <c:showVal val="1"/>
          <c:showCatName val="0"/>
          <c:showSerName val="0"/>
          <c:showPercent val="0"/>
          <c:showBubbleSize val="0"/>
        </c:dLbls>
        <c:axId val="504201328"/>
        <c:axId val="504198584"/>
      </c:scatterChart>
      <c:valAx>
        <c:axId val="504201328"/>
        <c:scaling>
          <c:orientation val="minMax"/>
          <c:max val="5000"/>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a:t>個人所得（億円、</a:t>
                </a:r>
                <a:r>
                  <a:rPr lang="en-US" altLang="ja-JP"/>
                  <a:t>2014</a:t>
                </a:r>
                <a:r>
                  <a:rPr lang="ja-JP" altLang="en-US"/>
                  <a:t>年度）</a:t>
                </a:r>
                <a:endParaRPr lang="en-US" altLang="ja-JP"/>
              </a:p>
            </c:rich>
          </c:tx>
          <c:layout>
            <c:manualLayout>
              <c:xMode val="edge"/>
              <c:yMode val="edge"/>
              <c:x val="0.41514120492444212"/>
              <c:y val="0.92751064453431786"/>
            </c:manualLayout>
          </c:layout>
          <c:overlay val="0"/>
          <c:spPr>
            <a:noFill/>
            <a:ln>
              <a:noFill/>
            </a:ln>
            <a:effectLst/>
          </c:spPr>
        </c:title>
        <c:numFmt formatCode="#,##0_ " sourceLinked="1"/>
        <c:majorTickMark val="cross"/>
        <c:minorTickMark val="none"/>
        <c:tickLblPos val="nextTo"/>
        <c:spPr>
          <a:noFill/>
          <a:ln w="9525" cap="flat" cmpd="sng" algn="ctr">
            <a:solidFill>
              <a:schemeClr val="bg1">
                <a:lumMod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504198584"/>
        <c:crosses val="autoZero"/>
        <c:crossBetween val="midCat"/>
      </c:valAx>
      <c:valAx>
        <c:axId val="504198584"/>
        <c:scaling>
          <c:orientation val="minMax"/>
          <c:max val="2500"/>
          <c:min val="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vert="eaVert"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a:t>小売販売額（億円）</a:t>
                </a:r>
              </a:p>
            </c:rich>
          </c:tx>
          <c:layout>
            <c:manualLayout>
              <c:xMode val="edge"/>
              <c:yMode val="edge"/>
              <c:x val="1.8475750577367205E-2"/>
              <c:y val="0.31972503597778207"/>
            </c:manualLayout>
          </c:layout>
          <c:overlay val="0"/>
          <c:spPr>
            <a:noFill/>
            <a:ln>
              <a:noFill/>
            </a:ln>
            <a:effectLst/>
          </c:spPr>
        </c:title>
        <c:numFmt formatCode="#,##0_ " sourceLinked="1"/>
        <c:majorTickMark val="cross"/>
        <c:minorTickMark val="none"/>
        <c:tickLblPos val="nextTo"/>
        <c:spPr>
          <a:noFill/>
          <a:ln w="9525" cap="flat" cmpd="sng" algn="ctr">
            <a:solidFill>
              <a:schemeClr val="bg1">
                <a:lumMod val="50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ja-JP"/>
          </a:p>
        </c:txPr>
        <c:crossAx val="504201328"/>
        <c:crosses val="autoZero"/>
        <c:crossBetween val="midCat"/>
      </c:valAx>
      <c:spPr>
        <a:noFill/>
        <a:ln>
          <a:solidFill>
            <a:schemeClr val="bg1">
              <a:lumMod val="65000"/>
            </a:schemeClr>
          </a:solidFill>
        </a:ln>
        <a:effectLst/>
      </c:spPr>
    </c:plotArea>
    <c:plotVisOnly val="1"/>
    <c:dispBlanksAs val="gap"/>
    <c:showDLblsOverMax val="0"/>
  </c:chart>
  <c:spPr>
    <a:solidFill>
      <a:schemeClr val="bg1"/>
    </a:solidFill>
    <a:ln w="9525" cap="flat" cmpd="sng" algn="ctr">
      <a:solidFill>
        <a:schemeClr val="bg1">
          <a:lumMod val="50000"/>
        </a:schemeClr>
      </a:solidFill>
      <a:round/>
    </a:ln>
    <a:effectLst/>
  </c:spPr>
  <c:txPr>
    <a:bodyPr/>
    <a:lstStyle/>
    <a:p>
      <a:pPr>
        <a:defRPr/>
      </a:pPr>
      <a:endParaRPr lang="ja-JP"/>
    </a:p>
  </c:tx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4</Pages>
  <Words>474</Words>
  <Characters>2704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中村良平</cp:lastModifiedBy>
  <cp:revision>2</cp:revision>
  <dcterms:created xsi:type="dcterms:W3CDTF">2018-06-03T10:20:00Z</dcterms:created>
  <dcterms:modified xsi:type="dcterms:W3CDTF">2018-06-04T05:03:00Z</dcterms:modified>
</cp:coreProperties>
</file>